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A7D824" w14:textId="0D2CBC4F" w:rsidR="00DB6EB3" w:rsidRPr="00DB6EB3" w:rsidRDefault="00DB6EB3" w:rsidP="00DB6EB3">
      <w:pPr>
        <w:pStyle w:val="CRCoverPage"/>
        <w:tabs>
          <w:tab w:val="right" w:pos="9639"/>
        </w:tabs>
        <w:spacing w:after="0"/>
        <w:rPr>
          <w:b/>
          <w:noProof/>
          <w:sz w:val="24"/>
        </w:rPr>
      </w:pPr>
      <w:r w:rsidRPr="00DB6EB3">
        <w:rPr>
          <w:b/>
          <w:noProof/>
          <w:sz w:val="24"/>
        </w:rPr>
        <w:t>3GPP TSG-RAN WG2 Meeting #98</w:t>
      </w:r>
      <w:r w:rsidRPr="00DB6EB3">
        <w:rPr>
          <w:b/>
          <w:noProof/>
          <w:sz w:val="24"/>
        </w:rPr>
        <w:tab/>
        <w:t>R2-17</w:t>
      </w:r>
      <w:r w:rsidR="00FA353E">
        <w:rPr>
          <w:b/>
          <w:noProof/>
          <w:sz w:val="24"/>
        </w:rPr>
        <w:t>05232</w:t>
      </w:r>
      <w:bookmarkStart w:id="0" w:name="_GoBack"/>
      <w:bookmarkEnd w:id="0"/>
    </w:p>
    <w:p w14:paraId="74C39820" w14:textId="031BA0BE" w:rsidR="007B48FB" w:rsidRPr="00E225A7" w:rsidRDefault="00DB6EB3" w:rsidP="00DB6EB3">
      <w:pPr>
        <w:pStyle w:val="CRCoverPage"/>
        <w:tabs>
          <w:tab w:val="right" w:pos="9639"/>
        </w:tabs>
        <w:spacing w:after="0"/>
        <w:rPr>
          <w:rFonts w:eastAsia="맑은 고딕"/>
          <w:b/>
          <w:i/>
          <w:noProof/>
          <w:sz w:val="24"/>
          <w:lang w:eastAsia="ko-KR"/>
        </w:rPr>
      </w:pPr>
      <w:r w:rsidRPr="00DB6EB3">
        <w:rPr>
          <w:b/>
          <w:noProof/>
          <w:sz w:val="24"/>
        </w:rPr>
        <w:t>Hangzhou, China, 15th – 19th May 2017</w:t>
      </w:r>
      <w:r w:rsidR="007B48FB">
        <w:rPr>
          <w:rFonts w:eastAsia="맑은 고딕" w:hint="eastAsia"/>
          <w:b/>
          <w:noProof/>
          <w:sz w:val="24"/>
          <w:lang w:eastAsia="ko-KR"/>
        </w:rPr>
        <w:tab/>
      </w:r>
    </w:p>
    <w:p w14:paraId="1D0846DF" w14:textId="6D935A06" w:rsidR="0013687D" w:rsidRPr="00E225A7" w:rsidRDefault="0013687D" w:rsidP="00B82B7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3F70361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E164A">
        <w:rPr>
          <w:rFonts w:ascii="Arial" w:hAnsi="Arial" w:cs="Arial"/>
          <w:b/>
          <w:noProof/>
          <w:sz w:val="28"/>
          <w:szCs w:val="28"/>
          <w:lang w:val="en-US" w:eastAsia="ko-KR"/>
        </w:rPr>
        <w:t>9.2.2</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EE164A" w:rsidRPr="00EE164A">
        <w:rPr>
          <w:rFonts w:ascii="Arial" w:hAnsi="Arial" w:cs="Arial"/>
          <w:b/>
          <w:noProof/>
          <w:sz w:val="28"/>
          <w:szCs w:val="28"/>
          <w:lang w:val="en-US" w:eastAsia="ko-KR"/>
        </w:rPr>
        <w:t>LTE_STTIandPT</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4592DC18" w:rsidR="00215D97" w:rsidRPr="00BF3F3C" w:rsidRDefault="005E463B" w:rsidP="009C46A6">
      <w:pPr>
        <w:tabs>
          <w:tab w:val="left" w:pos="1985"/>
        </w:tabs>
        <w:spacing w:after="60" w:line="288" w:lineRule="auto"/>
        <w:ind w:left="2124" w:hangingChars="773" w:hanging="2124"/>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DB6EB3">
        <w:rPr>
          <w:rFonts w:ascii="Arial" w:hAnsi="Arial" w:cs="Arial"/>
          <w:b/>
          <w:noProof/>
          <w:sz w:val="28"/>
          <w:szCs w:val="28"/>
          <w:lang w:val="en-US" w:eastAsia="ko-KR"/>
        </w:rPr>
        <w:t>Support of</w:t>
      </w:r>
      <w:r w:rsidR="009C46A6">
        <w:rPr>
          <w:rFonts w:ascii="Arial" w:hAnsi="Arial" w:cs="Arial"/>
          <w:b/>
          <w:noProof/>
          <w:sz w:val="28"/>
          <w:szCs w:val="28"/>
          <w:lang w:val="en-US" w:eastAsia="ko-KR"/>
        </w:rPr>
        <w:t xml:space="preserve"> switching between different TTI length</w:t>
      </w:r>
      <w:r w:rsidR="006200DD">
        <w:rPr>
          <w:rFonts w:ascii="Arial" w:hAnsi="Arial" w:cs="Arial"/>
          <w:b/>
          <w:noProof/>
          <w:sz w:val="28"/>
          <w:szCs w:val="28"/>
          <w:lang w:val="en-US" w:eastAsia="ko-KR"/>
        </w:rPr>
        <w:t xml:space="preserve"> within one HARQ procedure</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0FC1E08" w14:textId="3CE604E1" w:rsidR="00DE52A1" w:rsidRDefault="00DE52A1" w:rsidP="00BF6174">
      <w:pPr>
        <w:spacing w:after="180" w:line="240" w:lineRule="auto"/>
        <w:jc w:val="left"/>
        <w:rPr>
          <w:lang w:eastAsia="ko-KR"/>
        </w:rPr>
      </w:pPr>
      <w:r>
        <w:rPr>
          <w:rFonts w:hint="eastAsia"/>
          <w:lang w:eastAsia="ko-KR"/>
        </w:rPr>
        <w:t>Re</w:t>
      </w:r>
      <w:r>
        <w:rPr>
          <w:lang w:eastAsia="ko-KR"/>
        </w:rPr>
        <w:t>garding switching between legacy and sTTI, and LCP procedure, RAN2 agreed the followings:</w:t>
      </w:r>
    </w:p>
    <w:p w14:paraId="36E46C26" w14:textId="0D9268D4" w:rsidR="00547A18" w:rsidRDefault="00B13347" w:rsidP="00BF6174">
      <w:pPr>
        <w:spacing w:after="180" w:line="240" w:lineRule="auto"/>
        <w:jc w:val="left"/>
        <w:rPr>
          <w:lang w:eastAsia="ko-KR"/>
        </w:rPr>
      </w:pPr>
      <w:r>
        <w:rPr>
          <w:rFonts w:hint="eastAsia"/>
          <w:lang w:eastAsia="ko-KR"/>
        </w:rPr>
        <w:t>RAN2#96:</w:t>
      </w:r>
    </w:p>
    <w:tbl>
      <w:tblPr>
        <w:tblStyle w:val="a8"/>
        <w:tblW w:w="0" w:type="auto"/>
        <w:tblInd w:w="250" w:type="dxa"/>
        <w:tblLook w:val="04A0" w:firstRow="1" w:lastRow="0" w:firstColumn="1" w:lastColumn="0" w:noHBand="0" w:noVBand="1"/>
      </w:tblPr>
      <w:tblGrid>
        <w:gridCol w:w="9589"/>
      </w:tblGrid>
      <w:tr w:rsidR="00020E88" w14:paraId="4FD35A32" w14:textId="77777777" w:rsidTr="002A129D">
        <w:tc>
          <w:tcPr>
            <w:tcW w:w="9589" w:type="dxa"/>
          </w:tcPr>
          <w:p w14:paraId="401A6983" w14:textId="77777777" w:rsidR="00020E88" w:rsidRPr="00020E88" w:rsidRDefault="00020E88" w:rsidP="00020E88">
            <w:pPr>
              <w:pStyle w:val="Doc-text2"/>
              <w:numPr>
                <w:ilvl w:val="0"/>
                <w:numId w:val="21"/>
              </w:numPr>
              <w:tabs>
                <w:tab w:val="clear" w:pos="1622"/>
                <w:tab w:val="left" w:pos="459"/>
              </w:tabs>
              <w:ind w:left="459" w:hanging="141"/>
              <w:jc w:val="left"/>
            </w:pPr>
            <w:r w:rsidRPr="00020E88">
              <w:t>RAN2 will study the impacts of dynamic switching between legacy and sTTI on the MAC</w:t>
            </w:r>
          </w:p>
          <w:p w14:paraId="504EA0F4" w14:textId="77777777" w:rsidR="00020E88" w:rsidRDefault="00020E88" w:rsidP="00020E88">
            <w:pPr>
              <w:pStyle w:val="Doc-text2"/>
              <w:numPr>
                <w:ilvl w:val="0"/>
                <w:numId w:val="21"/>
              </w:numPr>
              <w:tabs>
                <w:tab w:val="clear" w:pos="1622"/>
                <w:tab w:val="left" w:pos="459"/>
              </w:tabs>
              <w:ind w:left="459" w:hanging="141"/>
              <w:jc w:val="left"/>
            </w:pPr>
            <w:r>
              <w:t>RAN2 will study the impacts of dynamic switching between legacy and sTTI on the MAC</w:t>
            </w:r>
          </w:p>
          <w:p w14:paraId="73818CBA" w14:textId="04C003C2" w:rsidR="00020E88" w:rsidRDefault="00020E88" w:rsidP="00020E88">
            <w:pPr>
              <w:pStyle w:val="Doc-text2"/>
              <w:numPr>
                <w:ilvl w:val="0"/>
                <w:numId w:val="21"/>
              </w:numPr>
              <w:tabs>
                <w:tab w:val="clear" w:pos="1622"/>
                <w:tab w:val="left" w:pos="459"/>
              </w:tabs>
              <w:ind w:left="459" w:hanging="141"/>
              <w:jc w:val="left"/>
            </w:pPr>
            <w:r>
              <w:t>FFS if LCP procedures need to be changed and if multiplexing restrictions will be needed. Wait for RAN1 to progress</w:t>
            </w:r>
          </w:p>
          <w:p w14:paraId="4C009E7A" w14:textId="77777777" w:rsidR="00020E88" w:rsidRDefault="00020E88" w:rsidP="00020E88">
            <w:pPr>
              <w:pStyle w:val="Doc-text2"/>
              <w:numPr>
                <w:ilvl w:val="0"/>
                <w:numId w:val="21"/>
              </w:numPr>
              <w:tabs>
                <w:tab w:val="clear" w:pos="1622"/>
                <w:tab w:val="left" w:pos="459"/>
              </w:tabs>
              <w:ind w:left="459" w:hanging="141"/>
              <w:jc w:val="left"/>
            </w:pPr>
            <w:r>
              <w:t>FFS if some logical channel should be given priority to use the sTTI and the mechanisms to achieve this</w:t>
            </w:r>
          </w:p>
          <w:p w14:paraId="4ECC7F2B" w14:textId="77777777" w:rsidR="00020E88" w:rsidRDefault="00020E88" w:rsidP="00020E88">
            <w:pPr>
              <w:pStyle w:val="Doc-text2"/>
              <w:numPr>
                <w:ilvl w:val="0"/>
                <w:numId w:val="21"/>
              </w:numPr>
              <w:tabs>
                <w:tab w:val="clear" w:pos="1622"/>
                <w:tab w:val="left" w:pos="459"/>
              </w:tabs>
              <w:ind w:left="459" w:hanging="141"/>
              <w:jc w:val="left"/>
            </w:pPr>
            <w:r w:rsidRPr="00020E88">
              <w:t>Mac-ContentionResolutionTimer is in number of subframes regardless of which TTI length is used</w:t>
            </w:r>
          </w:p>
          <w:p w14:paraId="433127DE" w14:textId="64E2F0FF" w:rsidR="00020E88" w:rsidRPr="00020E88" w:rsidRDefault="00020E88" w:rsidP="00020E88">
            <w:pPr>
              <w:pStyle w:val="Doc-text2"/>
              <w:numPr>
                <w:ilvl w:val="0"/>
                <w:numId w:val="21"/>
              </w:numPr>
              <w:tabs>
                <w:tab w:val="clear" w:pos="1622"/>
                <w:tab w:val="left" w:pos="459"/>
              </w:tabs>
              <w:ind w:left="459" w:hanging="141"/>
              <w:jc w:val="left"/>
              <w:rPr>
                <w:bCs/>
                <w:noProof/>
              </w:rPr>
            </w:pPr>
            <w:r w:rsidRPr="00020E88">
              <w:t>The unit for HARQ RTT timer counting is the TTI length of the TB that starts the timer</w:t>
            </w:r>
          </w:p>
        </w:tc>
      </w:tr>
    </w:tbl>
    <w:p w14:paraId="08C5FA2A" w14:textId="77777777" w:rsidR="00020E88" w:rsidRPr="002A129D" w:rsidRDefault="00020E88" w:rsidP="002A129D">
      <w:pPr>
        <w:spacing w:after="180" w:line="240" w:lineRule="auto"/>
        <w:jc w:val="left"/>
        <w:rPr>
          <w:lang w:eastAsia="ko-KR"/>
        </w:rPr>
      </w:pPr>
    </w:p>
    <w:p w14:paraId="395D2128" w14:textId="23BC4709" w:rsidR="00547A18" w:rsidRDefault="00DE52A1" w:rsidP="00DE52A1">
      <w:pPr>
        <w:spacing w:after="180" w:line="240" w:lineRule="auto"/>
        <w:jc w:val="left"/>
        <w:rPr>
          <w:lang w:eastAsia="ko-KR"/>
        </w:rPr>
      </w:pPr>
      <w:r>
        <w:rPr>
          <w:rFonts w:hint="eastAsia"/>
          <w:lang w:eastAsia="ko-KR"/>
        </w:rPr>
        <w:t>RAN2#97</w:t>
      </w:r>
      <w:r w:rsidR="00B13347">
        <w:rPr>
          <w:lang w:eastAsia="ko-KR"/>
        </w:rPr>
        <w:t>:</w:t>
      </w:r>
    </w:p>
    <w:tbl>
      <w:tblPr>
        <w:tblStyle w:val="a8"/>
        <w:tblW w:w="0" w:type="auto"/>
        <w:tblInd w:w="250" w:type="dxa"/>
        <w:tblLook w:val="04A0" w:firstRow="1" w:lastRow="0" w:firstColumn="1" w:lastColumn="0" w:noHBand="0" w:noVBand="1"/>
      </w:tblPr>
      <w:tblGrid>
        <w:gridCol w:w="9589"/>
      </w:tblGrid>
      <w:tr w:rsidR="002A129D" w14:paraId="4237916B" w14:textId="77777777" w:rsidTr="005F1C9E">
        <w:tc>
          <w:tcPr>
            <w:tcW w:w="9589" w:type="dxa"/>
          </w:tcPr>
          <w:p w14:paraId="3CEA492F" w14:textId="7ECE0785" w:rsidR="002A129D" w:rsidRDefault="002A129D" w:rsidP="002A129D">
            <w:pPr>
              <w:pStyle w:val="Doc-text2"/>
              <w:numPr>
                <w:ilvl w:val="0"/>
                <w:numId w:val="21"/>
              </w:numPr>
              <w:tabs>
                <w:tab w:val="clear" w:pos="1622"/>
                <w:tab w:val="left" w:pos="459"/>
              </w:tabs>
              <w:ind w:left="459" w:hanging="141"/>
              <w:jc w:val="left"/>
            </w:pPr>
            <w:r>
              <w:t xml:space="preserve">Logical channel can be configured to use one or more TTI duration(s).  </w:t>
            </w:r>
          </w:p>
          <w:p w14:paraId="03067621" w14:textId="3C935E10" w:rsidR="002A129D" w:rsidRDefault="002A129D" w:rsidP="002A129D">
            <w:pPr>
              <w:pStyle w:val="Doc-text2"/>
              <w:numPr>
                <w:ilvl w:val="0"/>
                <w:numId w:val="21"/>
              </w:numPr>
              <w:tabs>
                <w:tab w:val="clear" w:pos="1622"/>
                <w:tab w:val="left" w:pos="459"/>
              </w:tabs>
              <w:ind w:left="459" w:hanging="141"/>
              <w:jc w:val="left"/>
            </w:pPr>
            <w:r>
              <w:t>The mapping of LCH to TTI duration(s) is configured by RRC</w:t>
            </w:r>
          </w:p>
          <w:p w14:paraId="29EE929A" w14:textId="2FC8B8FD" w:rsidR="002A129D" w:rsidRDefault="002A129D" w:rsidP="002A129D">
            <w:pPr>
              <w:pStyle w:val="Doc-text2"/>
              <w:numPr>
                <w:ilvl w:val="0"/>
                <w:numId w:val="21"/>
              </w:numPr>
              <w:tabs>
                <w:tab w:val="clear" w:pos="1622"/>
                <w:tab w:val="left" w:pos="459"/>
              </w:tabs>
              <w:ind w:left="459" w:hanging="141"/>
              <w:jc w:val="left"/>
            </w:pPr>
            <w:r>
              <w:t xml:space="preserve">Legacy LCP applies among considered logical channels for RBs. FFS how MAC CEs will be handled. </w:t>
            </w:r>
          </w:p>
          <w:p w14:paraId="1ED0902B" w14:textId="01EBA734" w:rsidR="002A129D" w:rsidRPr="00020E88" w:rsidRDefault="002A129D" w:rsidP="002A129D">
            <w:pPr>
              <w:pStyle w:val="Doc-text2"/>
              <w:numPr>
                <w:ilvl w:val="0"/>
                <w:numId w:val="21"/>
              </w:numPr>
              <w:tabs>
                <w:tab w:val="clear" w:pos="1622"/>
                <w:tab w:val="left" w:pos="459"/>
              </w:tabs>
              <w:ind w:left="459" w:hanging="141"/>
              <w:jc w:val="left"/>
              <w:rPr>
                <w:bCs/>
                <w:noProof/>
              </w:rPr>
            </w:pPr>
            <w:r>
              <w:t>From the MAC perspective, the physical layer indicate should indicate the associated TTI duration for the UL grant</w:t>
            </w:r>
          </w:p>
        </w:tc>
      </w:tr>
    </w:tbl>
    <w:p w14:paraId="487A1B48" w14:textId="77777777" w:rsidR="002A129D" w:rsidRDefault="002A129D" w:rsidP="00D42F09">
      <w:pPr>
        <w:spacing w:after="180" w:line="240" w:lineRule="auto"/>
        <w:jc w:val="left"/>
        <w:rPr>
          <w:lang w:eastAsia="ko-KR"/>
        </w:rPr>
      </w:pPr>
    </w:p>
    <w:p w14:paraId="21D2AC42" w14:textId="52253BA0" w:rsidR="00D42F09" w:rsidRDefault="00D42F09" w:rsidP="00D42F09">
      <w:pPr>
        <w:spacing w:after="180" w:line="240" w:lineRule="auto"/>
        <w:jc w:val="left"/>
        <w:rPr>
          <w:lang w:eastAsia="ko-KR"/>
        </w:rPr>
      </w:pPr>
      <w:r>
        <w:rPr>
          <w:lang w:eastAsia="ko-KR"/>
        </w:rPr>
        <w:t>RAN2#97bis:</w:t>
      </w:r>
    </w:p>
    <w:tbl>
      <w:tblPr>
        <w:tblStyle w:val="a8"/>
        <w:tblW w:w="0" w:type="auto"/>
        <w:tblInd w:w="250" w:type="dxa"/>
        <w:tblLook w:val="04A0" w:firstRow="1" w:lastRow="0" w:firstColumn="1" w:lastColumn="0" w:noHBand="0" w:noVBand="1"/>
      </w:tblPr>
      <w:tblGrid>
        <w:gridCol w:w="9589"/>
      </w:tblGrid>
      <w:tr w:rsidR="002A129D" w14:paraId="193E46C1" w14:textId="77777777" w:rsidTr="005F1C9E">
        <w:tc>
          <w:tcPr>
            <w:tcW w:w="9589" w:type="dxa"/>
          </w:tcPr>
          <w:p w14:paraId="253B636A" w14:textId="77777777" w:rsidR="002A129D" w:rsidRDefault="002A129D" w:rsidP="002A129D">
            <w:pPr>
              <w:pStyle w:val="Doc-text2"/>
              <w:numPr>
                <w:ilvl w:val="0"/>
                <w:numId w:val="21"/>
              </w:numPr>
              <w:tabs>
                <w:tab w:val="clear" w:pos="1622"/>
                <w:tab w:val="left" w:pos="459"/>
              </w:tabs>
              <w:ind w:left="459" w:hanging="141"/>
              <w:jc w:val="left"/>
            </w:pPr>
            <w:r>
              <w:t>The unit for drx-RetransmissionTimer, drx-ULRetransmissionTimer counting is same as the HARQ RTT time expiry that starts the retransmission time, i.e. depending on the TTI length of the TB that is under retransmission.</w:t>
            </w:r>
          </w:p>
          <w:p w14:paraId="726198AB" w14:textId="0FFC466C" w:rsidR="002A129D" w:rsidRDefault="002A129D" w:rsidP="002A129D">
            <w:pPr>
              <w:pStyle w:val="Doc-text2"/>
              <w:numPr>
                <w:ilvl w:val="0"/>
                <w:numId w:val="21"/>
              </w:numPr>
              <w:tabs>
                <w:tab w:val="clear" w:pos="1622"/>
                <w:tab w:val="left" w:pos="459"/>
              </w:tabs>
              <w:ind w:left="459" w:hanging="141"/>
              <w:jc w:val="left"/>
            </w:pPr>
            <w:r>
              <w:t xml:space="preserve">Legacy DRX Cycle and drxShortCycleTimer are in number of subframes regardless of which TTI length is used. </w:t>
            </w:r>
          </w:p>
          <w:p w14:paraId="252ADD0C" w14:textId="4346DB0F" w:rsidR="002A129D" w:rsidRDefault="002A129D" w:rsidP="002A129D">
            <w:pPr>
              <w:pStyle w:val="Doc-text2"/>
              <w:numPr>
                <w:ilvl w:val="0"/>
                <w:numId w:val="21"/>
              </w:numPr>
              <w:tabs>
                <w:tab w:val="clear" w:pos="1622"/>
                <w:tab w:val="left" w:pos="459"/>
              </w:tabs>
              <w:ind w:left="459" w:hanging="141"/>
              <w:jc w:val="left"/>
            </w:pPr>
            <w:r>
              <w:t xml:space="preserve">Legacy onDurationTimer and drx-InactivityTimer counts number of PDCCH-subframes regardless of which TTI length is used. </w:t>
            </w:r>
          </w:p>
          <w:p w14:paraId="786ED1D3" w14:textId="349250F2" w:rsidR="002A129D" w:rsidRDefault="002A129D" w:rsidP="002A129D">
            <w:pPr>
              <w:pStyle w:val="Doc-text2"/>
              <w:numPr>
                <w:ilvl w:val="0"/>
                <w:numId w:val="21"/>
              </w:numPr>
              <w:tabs>
                <w:tab w:val="clear" w:pos="1622"/>
                <w:tab w:val="left" w:pos="459"/>
              </w:tabs>
              <w:ind w:left="459" w:hanging="141"/>
              <w:jc w:val="left"/>
            </w:pPr>
            <w:r>
              <w:t>Whether additional enhancements for sPDCCH monitoring are needed is FFS. Whether additional timers for sPDCCH enhancements is need is FFS.</w:t>
            </w:r>
          </w:p>
          <w:p w14:paraId="4E747BE5" w14:textId="6CA102D2" w:rsidR="002A129D" w:rsidRDefault="002A129D" w:rsidP="002A129D">
            <w:pPr>
              <w:pStyle w:val="Doc-text2"/>
              <w:numPr>
                <w:ilvl w:val="0"/>
                <w:numId w:val="21"/>
              </w:numPr>
              <w:tabs>
                <w:tab w:val="clear" w:pos="1622"/>
                <w:tab w:val="left" w:pos="459"/>
              </w:tabs>
              <w:ind w:left="459" w:hanging="141"/>
              <w:jc w:val="left"/>
            </w:pPr>
            <w:r>
              <w:t>A logical channel can be configured with the type of TTI(s) it is allowed to use (e.g. either with l</w:t>
            </w:r>
            <w:r w:rsidR="005F1C9E">
              <w:t xml:space="preserve">egacy TTI, short TTI, or all). </w:t>
            </w:r>
            <w:r>
              <w:t>The exact signalling is FFS.</w:t>
            </w:r>
          </w:p>
          <w:p w14:paraId="65C1DDED" w14:textId="0CE030AB" w:rsidR="002A129D" w:rsidRDefault="002A129D" w:rsidP="002A129D">
            <w:pPr>
              <w:pStyle w:val="Doc-text2"/>
              <w:numPr>
                <w:ilvl w:val="0"/>
                <w:numId w:val="21"/>
              </w:numPr>
              <w:tabs>
                <w:tab w:val="clear" w:pos="1622"/>
                <w:tab w:val="left" w:pos="459"/>
              </w:tabs>
              <w:ind w:left="459" w:hanging="141"/>
              <w:jc w:val="left"/>
            </w:pPr>
            <w:r>
              <w:t>LCP is performed only for logical channels configured to use the corresponding TTI type</w:t>
            </w:r>
          </w:p>
          <w:p w14:paraId="596BAFDA" w14:textId="17701AEA" w:rsidR="002A129D" w:rsidRDefault="002A129D" w:rsidP="002A129D">
            <w:pPr>
              <w:pStyle w:val="Doc-text2"/>
              <w:numPr>
                <w:ilvl w:val="0"/>
                <w:numId w:val="21"/>
              </w:numPr>
              <w:tabs>
                <w:tab w:val="clear" w:pos="1622"/>
                <w:tab w:val="left" w:pos="459"/>
              </w:tabs>
              <w:ind w:left="459" w:hanging="141"/>
              <w:jc w:val="left"/>
            </w:pPr>
            <w:r>
              <w:t>When the UE has grants on both TTIs, it is up to UE implementation in which order the grants are processed for logical channel multiplexing (if allowed by RAN1)</w:t>
            </w:r>
          </w:p>
          <w:p w14:paraId="09B5A9C3" w14:textId="21F34E4A" w:rsidR="002A129D" w:rsidRPr="00020E88" w:rsidRDefault="002A129D" w:rsidP="002A129D">
            <w:pPr>
              <w:pStyle w:val="Doc-text2"/>
              <w:numPr>
                <w:ilvl w:val="0"/>
                <w:numId w:val="21"/>
              </w:numPr>
              <w:tabs>
                <w:tab w:val="clear" w:pos="1622"/>
                <w:tab w:val="left" w:pos="459"/>
              </w:tabs>
              <w:ind w:left="459" w:hanging="141"/>
              <w:jc w:val="left"/>
              <w:rPr>
                <w:bCs/>
                <w:noProof/>
              </w:rPr>
            </w:pPr>
            <w:r>
              <w:t>When the UE has grants on both TTIs, it is up to UE implementation to decide in which MAC PDU a MAC control element is included (if allowed by RAN1)</w:t>
            </w:r>
          </w:p>
        </w:tc>
      </w:tr>
    </w:tbl>
    <w:p w14:paraId="51E23423" w14:textId="77777777" w:rsidR="00D42F09" w:rsidRPr="002A129D" w:rsidRDefault="00D42F09" w:rsidP="00D42F09">
      <w:pPr>
        <w:spacing w:after="180" w:line="240" w:lineRule="auto"/>
        <w:jc w:val="left"/>
        <w:rPr>
          <w:lang w:eastAsia="ko-KR"/>
        </w:rPr>
      </w:pPr>
    </w:p>
    <w:p w14:paraId="2CE0DE53" w14:textId="6166A881" w:rsidR="00326FA4" w:rsidRDefault="00ED0912" w:rsidP="00284D97">
      <w:pPr>
        <w:spacing w:after="180" w:line="240" w:lineRule="auto"/>
        <w:jc w:val="left"/>
        <w:rPr>
          <w:lang w:eastAsia="ko-KR"/>
        </w:rPr>
      </w:pPr>
      <w:r>
        <w:rPr>
          <w:lang w:eastAsia="ko-KR"/>
        </w:rPr>
        <w:lastRenderedPageBreak/>
        <w:t xml:space="preserve">RAN1 </w:t>
      </w:r>
      <w:r w:rsidR="00BF0F45">
        <w:rPr>
          <w:lang w:eastAsia="ko-KR"/>
        </w:rPr>
        <w:t xml:space="preserve">has not decided yet whether to </w:t>
      </w:r>
      <w:r>
        <w:rPr>
          <w:lang w:eastAsia="ko-KR"/>
        </w:rPr>
        <w:t xml:space="preserve">support TTI length </w:t>
      </w:r>
      <w:r w:rsidR="007E0E66">
        <w:rPr>
          <w:lang w:eastAsia="ko-KR"/>
        </w:rPr>
        <w:t xml:space="preserve">switching </w:t>
      </w:r>
      <w:r w:rsidR="00B13347">
        <w:rPr>
          <w:lang w:eastAsia="ko-KR"/>
        </w:rPr>
        <w:t>between</w:t>
      </w:r>
      <w:r>
        <w:rPr>
          <w:lang w:eastAsia="ko-KR"/>
        </w:rPr>
        <w:t xml:space="preserve"> initial transmission and retransmission</w:t>
      </w:r>
      <w:r w:rsidR="00E8552C">
        <w:rPr>
          <w:lang w:eastAsia="ko-KR"/>
        </w:rPr>
        <w:t xml:space="preserve"> within one HARQ procedure</w:t>
      </w:r>
      <w:r>
        <w:rPr>
          <w:lang w:eastAsia="ko-KR"/>
        </w:rPr>
        <w:t>.</w:t>
      </w:r>
      <w:r w:rsidR="00B13347">
        <w:rPr>
          <w:lang w:eastAsia="ko-KR"/>
        </w:rPr>
        <w:t xml:space="preserve"> </w:t>
      </w:r>
      <w:r w:rsidR="00BF0F45">
        <w:rPr>
          <w:lang w:eastAsia="ko-KR"/>
        </w:rPr>
        <w:t xml:space="preserve">This contribution addresses possible implication in RAN2 by supporting TTI length </w:t>
      </w:r>
      <w:r w:rsidR="00A90C55">
        <w:rPr>
          <w:lang w:eastAsia="ko-KR"/>
        </w:rPr>
        <w:t>switching between initial transmission and retransmission</w:t>
      </w:r>
      <w:r w:rsidR="00BF0F45">
        <w:rPr>
          <w:lang w:eastAsia="ko-KR"/>
        </w:rPr>
        <w:t xml:space="preserve">, e.g., </w:t>
      </w:r>
      <w:r w:rsidR="00A90C55">
        <w:rPr>
          <w:lang w:eastAsia="ko-KR"/>
        </w:rPr>
        <w:t>LCP procedure</w:t>
      </w:r>
      <w:r w:rsidR="00E8552C">
        <w:rPr>
          <w:lang w:eastAsia="ko-KR"/>
        </w:rPr>
        <w:t xml:space="preserve"> and DRX procedure</w:t>
      </w:r>
      <w:r w:rsidR="00BF0F45">
        <w:rPr>
          <w:rFonts w:hint="eastAsia"/>
          <w:lang w:eastAsia="ko-KR"/>
        </w:rPr>
        <w:t>.</w:t>
      </w:r>
    </w:p>
    <w:p w14:paraId="53EDE98E" w14:textId="77777777" w:rsidR="00284D97" w:rsidRDefault="00284D97" w:rsidP="00284D97">
      <w:pPr>
        <w:spacing w:after="180" w:line="240" w:lineRule="auto"/>
        <w:jc w:val="left"/>
        <w:rPr>
          <w:rFonts w:eastAsiaTheme="minorEastAsia"/>
          <w:i/>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44380307" w14:textId="4F6DF167" w:rsidR="008F1E1B" w:rsidRDefault="005F1C9E" w:rsidP="00BF79B8">
      <w:pPr>
        <w:spacing w:after="180" w:line="240" w:lineRule="auto"/>
        <w:rPr>
          <w:lang w:val="en-US" w:eastAsia="ko-KR"/>
        </w:rPr>
      </w:pPr>
      <w:r>
        <w:rPr>
          <w:rFonts w:hint="eastAsia"/>
          <w:lang w:val="en-US" w:eastAsia="ko-KR"/>
        </w:rPr>
        <w:t xml:space="preserve">RAN2 agreed in RAN2#97bis that </w:t>
      </w:r>
      <w:r w:rsidRPr="005F1C9E">
        <w:rPr>
          <w:i/>
          <w:lang w:val="en-US" w:eastAsia="ko-KR"/>
        </w:rPr>
        <w:t>A logical channel can be configured with the type of TTI(s) it is allowed to use (e.g. either with legacy TTI, short TTI, or all)</w:t>
      </w:r>
      <w:r w:rsidR="00DE2793">
        <w:rPr>
          <w:lang w:val="en-US" w:eastAsia="ko-KR"/>
        </w:rPr>
        <w:t>.</w:t>
      </w:r>
      <w:r w:rsidR="008F1E1B">
        <w:rPr>
          <w:lang w:val="en-US" w:eastAsia="ko-KR"/>
        </w:rPr>
        <w:t xml:space="preserve"> Implications </w:t>
      </w:r>
      <w:r w:rsidR="005A4B21">
        <w:rPr>
          <w:lang w:val="en-US" w:eastAsia="ko-KR"/>
        </w:rPr>
        <w:t>of</w:t>
      </w:r>
      <w:r w:rsidR="008F1E1B">
        <w:rPr>
          <w:lang w:val="en-US" w:eastAsia="ko-KR"/>
        </w:rPr>
        <w:t xml:space="preserve"> this agreement </w:t>
      </w:r>
      <w:r w:rsidR="00476C5B">
        <w:rPr>
          <w:lang w:val="en-US" w:eastAsia="ko-KR"/>
        </w:rPr>
        <w:t>are</w:t>
      </w:r>
      <w:r w:rsidR="008F1E1B">
        <w:rPr>
          <w:lang w:val="en-US" w:eastAsia="ko-KR"/>
        </w:rPr>
        <w:t xml:space="preserve"> summarized </w:t>
      </w:r>
      <w:r w:rsidR="005A4B21">
        <w:rPr>
          <w:lang w:val="en-US" w:eastAsia="ko-KR"/>
        </w:rPr>
        <w:t>below</w:t>
      </w:r>
      <w:r w:rsidR="008F1E1B">
        <w:rPr>
          <w:lang w:val="en-US" w:eastAsia="ko-KR"/>
        </w:rPr>
        <w:t>:</w:t>
      </w:r>
    </w:p>
    <w:p w14:paraId="77F61A49" w14:textId="7079E1D7" w:rsidR="005F1C9E" w:rsidRDefault="008F1E1B" w:rsidP="008F1E1B">
      <w:pPr>
        <w:pStyle w:val="a6"/>
        <w:numPr>
          <w:ilvl w:val="0"/>
          <w:numId w:val="22"/>
        </w:numPr>
        <w:spacing w:after="180" w:line="240" w:lineRule="auto"/>
        <w:ind w:leftChars="0"/>
        <w:rPr>
          <w:lang w:val="en-US" w:eastAsia="ko-KR"/>
        </w:rPr>
      </w:pPr>
      <w:r>
        <w:rPr>
          <w:lang w:val="en-US" w:eastAsia="ko-KR"/>
        </w:rPr>
        <w:t>I</w:t>
      </w:r>
      <w:r w:rsidR="005F1C9E" w:rsidRPr="008F1E1B">
        <w:rPr>
          <w:lang w:val="en-US" w:eastAsia="ko-KR"/>
        </w:rPr>
        <w:t>f a logical channel is configured with sTTI</w:t>
      </w:r>
      <w:r w:rsidR="005F1C9E" w:rsidRPr="008F1E1B">
        <w:rPr>
          <w:i/>
          <w:lang w:val="en-US" w:eastAsia="ko-KR"/>
        </w:rPr>
        <w:t xml:space="preserve"> </w:t>
      </w:r>
      <w:r w:rsidR="00DE2793" w:rsidRPr="008F1E1B">
        <w:rPr>
          <w:lang w:val="en-US" w:eastAsia="ko-KR"/>
        </w:rPr>
        <w:t>type</w:t>
      </w:r>
      <w:r w:rsidR="005F1C9E" w:rsidRPr="008F1E1B">
        <w:rPr>
          <w:lang w:val="en-US" w:eastAsia="ko-KR"/>
        </w:rPr>
        <w:t xml:space="preserve">, the logical channel can be transmitted by using any of </w:t>
      </w:r>
      <w:r w:rsidR="00476C5B">
        <w:rPr>
          <w:lang w:val="en-US" w:eastAsia="ko-KR"/>
        </w:rPr>
        <w:t xml:space="preserve">sTTI lengths, i.e., </w:t>
      </w:r>
      <w:r w:rsidR="005F1C9E" w:rsidRPr="008F1E1B">
        <w:rPr>
          <w:lang w:val="en-US" w:eastAsia="ko-KR"/>
        </w:rPr>
        <w:t>2</w:t>
      </w:r>
      <w:r w:rsidR="00DE2793" w:rsidRPr="008F1E1B">
        <w:rPr>
          <w:lang w:val="en-US" w:eastAsia="ko-KR"/>
        </w:rPr>
        <w:t>/3</w:t>
      </w:r>
      <w:r w:rsidRPr="008F1E1B">
        <w:rPr>
          <w:lang w:val="en-US" w:eastAsia="ko-KR"/>
        </w:rPr>
        <w:t>OS or</w:t>
      </w:r>
      <w:r w:rsidR="00DE2793" w:rsidRPr="008F1E1B">
        <w:rPr>
          <w:lang w:val="en-US" w:eastAsia="ko-KR"/>
        </w:rPr>
        <w:t xml:space="preserve"> 7OS sTTI lengths.</w:t>
      </w:r>
    </w:p>
    <w:p w14:paraId="0BB0167D" w14:textId="289F7CAB" w:rsidR="008F1E1B" w:rsidRDefault="008F1E1B" w:rsidP="008F1E1B">
      <w:pPr>
        <w:pStyle w:val="a6"/>
        <w:numPr>
          <w:ilvl w:val="0"/>
          <w:numId w:val="22"/>
        </w:numPr>
        <w:spacing w:after="180" w:line="240" w:lineRule="auto"/>
        <w:ind w:leftChars="0"/>
        <w:rPr>
          <w:lang w:val="en-US" w:eastAsia="ko-KR"/>
        </w:rPr>
      </w:pPr>
      <w:r>
        <w:rPr>
          <w:lang w:val="en-US" w:eastAsia="ko-KR"/>
        </w:rPr>
        <w:t xml:space="preserve">As a result of LCP procedure, there should be no case that a MAC PDU includes data from </w:t>
      </w:r>
      <w:r w:rsidR="002D534B">
        <w:rPr>
          <w:lang w:val="en-US" w:eastAsia="ko-KR"/>
        </w:rPr>
        <w:t>both</w:t>
      </w:r>
      <w:r>
        <w:rPr>
          <w:lang w:val="en-US" w:eastAsia="ko-KR"/>
        </w:rPr>
        <w:t xml:space="preserve"> logical channel</w:t>
      </w:r>
      <w:r w:rsidR="00310E8F">
        <w:rPr>
          <w:lang w:val="en-US" w:eastAsia="ko-KR"/>
        </w:rPr>
        <w:t xml:space="preserve">s, where </w:t>
      </w:r>
      <w:r w:rsidR="002D534B">
        <w:rPr>
          <w:lang w:val="en-US" w:eastAsia="ko-KR"/>
        </w:rPr>
        <w:t>one</w:t>
      </w:r>
      <w:r>
        <w:rPr>
          <w:lang w:val="en-US" w:eastAsia="ko-KR"/>
        </w:rPr>
        <w:t xml:space="preserve"> </w:t>
      </w:r>
      <w:r w:rsidR="00310E8F">
        <w:rPr>
          <w:lang w:val="en-US" w:eastAsia="ko-KR"/>
        </w:rPr>
        <w:t xml:space="preserve">is </w:t>
      </w:r>
      <w:r>
        <w:rPr>
          <w:lang w:val="en-US" w:eastAsia="ko-KR"/>
        </w:rPr>
        <w:t xml:space="preserve">configured with sTTI </w:t>
      </w:r>
      <w:r w:rsidRPr="00310E8F">
        <w:rPr>
          <w:i/>
          <w:lang w:val="en-US" w:eastAsia="ko-KR"/>
        </w:rPr>
        <w:t>only</w:t>
      </w:r>
      <w:r>
        <w:rPr>
          <w:lang w:val="en-US" w:eastAsia="ko-KR"/>
        </w:rPr>
        <w:t xml:space="preserve"> </w:t>
      </w:r>
      <w:r w:rsidR="002D534B">
        <w:rPr>
          <w:lang w:val="en-US" w:eastAsia="ko-KR"/>
        </w:rPr>
        <w:t>and the other one</w:t>
      </w:r>
      <w:r>
        <w:rPr>
          <w:lang w:val="en-US" w:eastAsia="ko-KR"/>
        </w:rPr>
        <w:t xml:space="preserve"> </w:t>
      </w:r>
      <w:r w:rsidR="00310E8F">
        <w:rPr>
          <w:lang w:val="en-US" w:eastAsia="ko-KR"/>
        </w:rPr>
        <w:t xml:space="preserve">is </w:t>
      </w:r>
      <w:r>
        <w:rPr>
          <w:lang w:val="en-US" w:eastAsia="ko-KR"/>
        </w:rPr>
        <w:t xml:space="preserve">configured with legacy TTI </w:t>
      </w:r>
      <w:r w:rsidRPr="00310E8F">
        <w:rPr>
          <w:i/>
          <w:lang w:val="en-US" w:eastAsia="ko-KR"/>
        </w:rPr>
        <w:t>only</w:t>
      </w:r>
      <w:r>
        <w:rPr>
          <w:lang w:val="en-US" w:eastAsia="ko-KR"/>
        </w:rPr>
        <w:t>.</w:t>
      </w:r>
    </w:p>
    <w:p w14:paraId="07C2C55D" w14:textId="57DBCEA6" w:rsidR="008F1E1B" w:rsidRDefault="00476C5B" w:rsidP="00476C5B">
      <w:pPr>
        <w:spacing w:after="180" w:line="240" w:lineRule="auto"/>
        <w:rPr>
          <w:lang w:val="en-US" w:eastAsia="ko-KR"/>
        </w:rPr>
      </w:pPr>
      <w:r>
        <w:rPr>
          <w:rFonts w:hint="eastAsia"/>
          <w:lang w:val="en-US" w:eastAsia="ko-KR"/>
        </w:rPr>
        <w:t>Having above in mind, we further see the need of support for switching TTI length within one HARQ procedure, i.e.,</w:t>
      </w:r>
      <w:r>
        <w:rPr>
          <w:lang w:val="en-US" w:eastAsia="ko-KR"/>
        </w:rPr>
        <w:t xml:space="preserve"> between new transmission and retransmission, or between retransmissions.</w:t>
      </w:r>
    </w:p>
    <w:p w14:paraId="2693A354" w14:textId="4A27E3B3" w:rsidR="00476C5B" w:rsidRDefault="00476C5B" w:rsidP="00476C5B">
      <w:pPr>
        <w:spacing w:after="180" w:line="240" w:lineRule="auto"/>
        <w:rPr>
          <w:lang w:eastAsia="ko-KR"/>
        </w:rPr>
      </w:pPr>
      <w:r>
        <w:rPr>
          <w:rFonts w:hint="eastAsia"/>
          <w:lang w:val="en-US" w:eastAsia="ko-KR"/>
        </w:rPr>
        <w:t xml:space="preserve">Considering the TTI configurations of a logical channel, </w:t>
      </w:r>
      <w:r>
        <w:rPr>
          <w:lang w:val="en-US" w:eastAsia="ko-KR"/>
        </w:rPr>
        <w:t xml:space="preserve">there are two cases for possible multiplexing in a MAC PDU. For easy description, we assumed that </w:t>
      </w:r>
      <w:r>
        <w:rPr>
          <w:lang w:eastAsia="ko-KR"/>
        </w:rPr>
        <w:t>LC1 is configured with sTTI type only, LC2 is configured with legacy TTI type only, and LC3 is configured with both of legacy TTI and sTTI types.</w:t>
      </w:r>
    </w:p>
    <w:p w14:paraId="26AAB4CB" w14:textId="53D69D90" w:rsidR="00476C5B" w:rsidRPr="00476C5B" w:rsidRDefault="00476C5B" w:rsidP="00476C5B">
      <w:pPr>
        <w:pStyle w:val="a6"/>
        <w:numPr>
          <w:ilvl w:val="0"/>
          <w:numId w:val="22"/>
        </w:numPr>
        <w:spacing w:after="180" w:line="240" w:lineRule="auto"/>
        <w:ind w:leftChars="0"/>
        <w:rPr>
          <w:lang w:val="en-US" w:eastAsia="ko-KR"/>
        </w:rPr>
      </w:pPr>
      <w:r w:rsidRPr="00476C5B">
        <w:rPr>
          <w:lang w:val="en-US" w:eastAsia="ko-KR"/>
        </w:rPr>
        <w:t>Case1. A MAC PDU includes data from LC1</w:t>
      </w:r>
      <w:r w:rsidR="00310E8F">
        <w:rPr>
          <w:lang w:val="en-US" w:eastAsia="ko-KR"/>
        </w:rPr>
        <w:t xml:space="preserve"> (sTTI only)</w:t>
      </w:r>
      <w:r w:rsidRPr="00476C5B">
        <w:rPr>
          <w:lang w:val="en-US" w:eastAsia="ko-KR"/>
        </w:rPr>
        <w:t xml:space="preserve"> and LC3</w:t>
      </w:r>
      <w:r w:rsidR="00310E8F">
        <w:rPr>
          <w:lang w:val="en-US" w:eastAsia="ko-KR"/>
        </w:rPr>
        <w:t xml:space="preserve"> (all TTIs)</w:t>
      </w:r>
      <w:r w:rsidRPr="00476C5B">
        <w:rPr>
          <w:lang w:val="en-US" w:eastAsia="ko-KR"/>
        </w:rPr>
        <w:t>.</w:t>
      </w:r>
    </w:p>
    <w:p w14:paraId="7DE68458" w14:textId="3F0628EA" w:rsidR="00476C5B" w:rsidRPr="00476C5B" w:rsidRDefault="00D403E1" w:rsidP="00476C5B">
      <w:pPr>
        <w:pStyle w:val="a6"/>
        <w:numPr>
          <w:ilvl w:val="0"/>
          <w:numId w:val="22"/>
        </w:numPr>
        <w:spacing w:after="180" w:line="240" w:lineRule="auto"/>
        <w:ind w:leftChars="0"/>
        <w:rPr>
          <w:lang w:val="en-US" w:eastAsia="ko-KR"/>
        </w:rPr>
      </w:pPr>
      <w:r>
        <w:rPr>
          <w:lang w:val="en-US" w:eastAsia="ko-KR"/>
        </w:rPr>
        <w:t>Case</w:t>
      </w:r>
      <w:r w:rsidR="00476C5B" w:rsidRPr="00476C5B">
        <w:rPr>
          <w:lang w:val="en-US" w:eastAsia="ko-KR"/>
        </w:rPr>
        <w:t>2. A MAC PDU includes data from LC2</w:t>
      </w:r>
      <w:r w:rsidR="00310E8F">
        <w:rPr>
          <w:lang w:val="en-US" w:eastAsia="ko-KR"/>
        </w:rPr>
        <w:t xml:space="preserve"> (legacy TTI only)</w:t>
      </w:r>
      <w:r w:rsidR="00476C5B" w:rsidRPr="00476C5B">
        <w:rPr>
          <w:lang w:val="en-US" w:eastAsia="ko-KR"/>
        </w:rPr>
        <w:t xml:space="preserve"> and LC3</w:t>
      </w:r>
      <w:r w:rsidR="00310E8F">
        <w:rPr>
          <w:lang w:val="en-US" w:eastAsia="ko-KR"/>
        </w:rPr>
        <w:t xml:space="preserve"> (all TTIs)</w:t>
      </w:r>
      <w:r w:rsidR="00476C5B" w:rsidRPr="00476C5B">
        <w:rPr>
          <w:lang w:val="en-US" w:eastAsia="ko-KR"/>
        </w:rPr>
        <w:t>.</w:t>
      </w:r>
    </w:p>
    <w:p w14:paraId="5E10270F" w14:textId="58AF18B5" w:rsidR="00DE2793" w:rsidRDefault="00310E8F" w:rsidP="00BF79B8">
      <w:pPr>
        <w:spacing w:after="180" w:line="240" w:lineRule="auto"/>
        <w:rPr>
          <w:lang w:eastAsia="ko-KR"/>
        </w:rPr>
      </w:pPr>
      <w:r>
        <w:rPr>
          <w:lang w:eastAsia="ko-KR"/>
        </w:rPr>
        <w:t>Case 1 is when the UE receives an UL grant with sTTI length</w:t>
      </w:r>
      <w:r w:rsidR="006E7EB7">
        <w:rPr>
          <w:lang w:eastAsia="ko-KR"/>
        </w:rPr>
        <w:t xml:space="preserve"> for a new transmission</w:t>
      </w:r>
      <w:r>
        <w:rPr>
          <w:lang w:eastAsia="ko-KR"/>
        </w:rPr>
        <w:t>. For the MAC PDU in case 1, UL grant with legacy TTI length cannot be used for retransmission because LC1 is not allowed to be transmitted by using legacy TTI length. Only the UL grant with sTTI length can be used for retransmissions, meaning that there is no chance to switch the TTI length in case 1.</w:t>
      </w:r>
    </w:p>
    <w:p w14:paraId="29FF4D59" w14:textId="023C26F4" w:rsidR="00310E8F" w:rsidRDefault="00310E8F" w:rsidP="00BF79B8">
      <w:pPr>
        <w:spacing w:after="180" w:line="240" w:lineRule="auto"/>
        <w:rPr>
          <w:lang w:eastAsia="ko-KR"/>
        </w:rPr>
      </w:pPr>
      <w:r>
        <w:rPr>
          <w:lang w:eastAsia="ko-KR"/>
        </w:rPr>
        <w:t>Case 2 is when the UE receives an UL grant with legacy TTI length</w:t>
      </w:r>
      <w:r w:rsidR="006E7EB7">
        <w:rPr>
          <w:lang w:eastAsia="ko-KR"/>
        </w:rPr>
        <w:t xml:space="preserve"> for a new transmission</w:t>
      </w:r>
      <w:r>
        <w:rPr>
          <w:lang w:eastAsia="ko-KR"/>
        </w:rPr>
        <w:t xml:space="preserve">. For the MAC PDU in case 2, UL grant with sTTI length cannot be used for retransmission because LC2 is not allowed to be transmitted by using sTTI length. </w:t>
      </w:r>
      <w:r w:rsidR="00D403E1">
        <w:rPr>
          <w:lang w:eastAsia="ko-KR"/>
        </w:rPr>
        <w:t>Similar to case 1, there is no chance to s</w:t>
      </w:r>
      <w:r w:rsidR="008A3586">
        <w:rPr>
          <w:lang w:eastAsia="ko-KR"/>
        </w:rPr>
        <w:t>witch the TTI length in case 2.</w:t>
      </w:r>
    </w:p>
    <w:p w14:paraId="048531B9" w14:textId="62E22C7D" w:rsidR="004846B5" w:rsidRDefault="000F5979" w:rsidP="00BF79B8">
      <w:pPr>
        <w:spacing w:after="180" w:line="240" w:lineRule="auto"/>
        <w:rPr>
          <w:lang w:eastAsia="ko-KR"/>
        </w:rPr>
      </w:pPr>
      <w:r>
        <w:rPr>
          <w:lang w:eastAsia="ko-KR"/>
        </w:rPr>
        <w:t>Additionally t</w:t>
      </w:r>
      <w:r w:rsidR="004846B5">
        <w:rPr>
          <w:lang w:eastAsia="ko-KR"/>
        </w:rPr>
        <w:t xml:space="preserve">here </w:t>
      </w:r>
      <w:r>
        <w:rPr>
          <w:lang w:eastAsia="ko-KR"/>
        </w:rPr>
        <w:t>could be</w:t>
      </w:r>
      <w:r w:rsidR="004846B5">
        <w:rPr>
          <w:lang w:eastAsia="ko-KR"/>
        </w:rPr>
        <w:t xml:space="preserve"> a case that a MAC PDU incudes only LC3, but RAN2 should not aim at optimization for some specific case such that there is no data for LC1 and LC2 but there is data only for LC3. </w:t>
      </w:r>
    </w:p>
    <w:p w14:paraId="1A76A40F" w14:textId="20073019" w:rsidR="006C7BF1" w:rsidRPr="00F01BAA" w:rsidRDefault="00633024" w:rsidP="00BF79B8">
      <w:pPr>
        <w:spacing w:after="180" w:line="240" w:lineRule="auto"/>
        <w:rPr>
          <w:lang w:val="en-US" w:eastAsia="ko-KR"/>
        </w:rPr>
      </w:pPr>
      <w:r w:rsidRPr="00F01BAA">
        <w:rPr>
          <w:b/>
          <w:lang w:val="en-US" w:eastAsia="ko-KR"/>
        </w:rPr>
        <w:t>Observation</w:t>
      </w:r>
      <w:r w:rsidR="001A5815">
        <w:rPr>
          <w:b/>
          <w:lang w:val="en-US" w:eastAsia="ko-KR"/>
        </w:rPr>
        <w:t xml:space="preserve"> 1</w:t>
      </w:r>
      <w:r w:rsidR="008A3586" w:rsidRPr="00F01BAA">
        <w:rPr>
          <w:b/>
          <w:lang w:val="en-US" w:eastAsia="ko-KR"/>
        </w:rPr>
        <w:t xml:space="preserve">. </w:t>
      </w:r>
      <w:r w:rsidR="008A3586" w:rsidRPr="00F01BAA">
        <w:rPr>
          <w:lang w:val="en-US" w:eastAsia="ko-KR"/>
        </w:rPr>
        <w:t>Considering the TTI type restriction of a logical channel</w:t>
      </w:r>
      <w:r w:rsidR="00F01BAA" w:rsidRPr="00F01BAA">
        <w:rPr>
          <w:lang w:val="en-US" w:eastAsia="ko-KR"/>
        </w:rPr>
        <w:t xml:space="preserve"> and a possible multiplexing in a MAC PDU as a result of LCP procedure</w:t>
      </w:r>
      <w:r w:rsidR="008A3586" w:rsidRPr="00F01BAA">
        <w:rPr>
          <w:lang w:val="en-US" w:eastAsia="ko-KR"/>
        </w:rPr>
        <w:t xml:space="preserve">, there is no </w:t>
      </w:r>
      <w:r w:rsidR="006E7EB7">
        <w:rPr>
          <w:lang w:val="en-US" w:eastAsia="ko-KR"/>
        </w:rPr>
        <w:t>chance</w:t>
      </w:r>
      <w:r w:rsidR="008A3586" w:rsidRPr="00F01BAA">
        <w:rPr>
          <w:lang w:val="en-US" w:eastAsia="ko-KR"/>
        </w:rPr>
        <w:t xml:space="preserve"> to </w:t>
      </w:r>
      <w:r w:rsidRPr="00F01BAA">
        <w:rPr>
          <w:lang w:val="en-US" w:eastAsia="ko-KR"/>
        </w:rPr>
        <w:t>switch</w:t>
      </w:r>
      <w:r w:rsidR="001F48C3" w:rsidRPr="00F01BAA">
        <w:rPr>
          <w:lang w:val="en-US" w:eastAsia="ko-KR"/>
        </w:rPr>
        <w:t xml:space="preserve"> </w:t>
      </w:r>
      <w:r w:rsidR="008A3586" w:rsidRPr="00F01BAA">
        <w:rPr>
          <w:lang w:val="en-US" w:eastAsia="ko-KR"/>
        </w:rPr>
        <w:t>TTI length within one HARQ procedure, i.e., between new transmission and retransmission, or between retransmissions.</w:t>
      </w:r>
    </w:p>
    <w:p w14:paraId="14179D05" w14:textId="77777777" w:rsidR="001F48C3" w:rsidRDefault="001F48C3" w:rsidP="00BF79B8">
      <w:pPr>
        <w:spacing w:after="180" w:line="240" w:lineRule="auto"/>
        <w:rPr>
          <w:lang w:eastAsia="ko-KR"/>
        </w:rPr>
      </w:pPr>
    </w:p>
    <w:p w14:paraId="1EE024E8" w14:textId="13D580E8" w:rsidR="008A3586" w:rsidRDefault="00713ECC" w:rsidP="00BF79B8">
      <w:pPr>
        <w:spacing w:after="180" w:line="240" w:lineRule="auto"/>
        <w:rPr>
          <w:lang w:eastAsia="ko-KR"/>
        </w:rPr>
      </w:pPr>
      <w:r>
        <w:rPr>
          <w:lang w:eastAsia="ko-KR"/>
        </w:rPr>
        <w:t xml:space="preserve">One may say that TTI type restriction of a logical channel is only for MAC PDU generation but not for MAC PDU transmission. However, in our view, the intention of having TTI type restriction is to allow or prevent use of specific TTI length for transmission of data from a logical channel. Thus, it doesn’t make sense to respect TTI type restriction only for new transmission </w:t>
      </w:r>
      <w:r w:rsidR="00F01BAA">
        <w:rPr>
          <w:lang w:eastAsia="ko-KR"/>
        </w:rPr>
        <w:t xml:space="preserve">except for </w:t>
      </w:r>
      <w:r>
        <w:rPr>
          <w:lang w:eastAsia="ko-KR"/>
        </w:rPr>
        <w:t>retransmission</w:t>
      </w:r>
      <w:r w:rsidR="00F01BAA">
        <w:rPr>
          <w:lang w:eastAsia="ko-KR"/>
        </w:rPr>
        <w:t>s</w:t>
      </w:r>
      <w:r>
        <w:rPr>
          <w:lang w:eastAsia="ko-KR"/>
        </w:rPr>
        <w:t>.</w:t>
      </w:r>
    </w:p>
    <w:p w14:paraId="68EF8368" w14:textId="0A321041" w:rsidR="001F48C3" w:rsidRPr="00713ECC" w:rsidRDefault="001F48C3" w:rsidP="00BF79B8">
      <w:pPr>
        <w:spacing w:after="180" w:line="240" w:lineRule="auto"/>
        <w:rPr>
          <w:lang w:eastAsia="ko-KR"/>
        </w:rPr>
      </w:pPr>
      <w:r>
        <w:rPr>
          <w:lang w:eastAsia="ko-KR"/>
        </w:rPr>
        <w:t>Even if it is allowed to switch TTI length</w:t>
      </w:r>
      <w:r w:rsidR="00F01BAA">
        <w:rPr>
          <w:lang w:eastAsia="ko-KR"/>
        </w:rPr>
        <w:t xml:space="preserve"> by ignoring TTI type restriction in retransmission</w:t>
      </w:r>
      <w:r>
        <w:rPr>
          <w:lang w:eastAsia="ko-KR"/>
        </w:rPr>
        <w:t>, there may not be enough opportunities to switch TTI length</w:t>
      </w:r>
      <w:r w:rsidR="006E7EB7">
        <w:rPr>
          <w:lang w:eastAsia="ko-KR"/>
        </w:rPr>
        <w:t xml:space="preserve">. For example, in </w:t>
      </w:r>
      <w:r>
        <w:rPr>
          <w:lang w:eastAsia="ko-KR"/>
        </w:rPr>
        <w:t>case 1</w:t>
      </w:r>
      <w:r w:rsidR="006E7EB7">
        <w:rPr>
          <w:lang w:eastAsia="ko-KR"/>
        </w:rPr>
        <w:t xml:space="preserve">, </w:t>
      </w:r>
      <w:r>
        <w:rPr>
          <w:lang w:eastAsia="ko-KR"/>
        </w:rPr>
        <w:t>drx-UL</w:t>
      </w:r>
      <w:r w:rsidR="006E7EB7">
        <w:rPr>
          <w:lang w:eastAsia="ko-KR"/>
        </w:rPr>
        <w:t>R</w:t>
      </w:r>
      <w:r>
        <w:rPr>
          <w:lang w:eastAsia="ko-KR"/>
        </w:rPr>
        <w:t xml:space="preserve">etransmissionTimer </w:t>
      </w:r>
      <w:r w:rsidR="006E7EB7">
        <w:rPr>
          <w:lang w:eastAsia="ko-KR"/>
        </w:rPr>
        <w:t>would be short because it is in unit o</w:t>
      </w:r>
      <w:r>
        <w:rPr>
          <w:lang w:eastAsia="ko-KR"/>
        </w:rPr>
        <w:t xml:space="preserve">f </w:t>
      </w:r>
      <w:r w:rsidR="006E7EB7">
        <w:rPr>
          <w:lang w:eastAsia="ko-KR"/>
        </w:rPr>
        <w:t>s</w:t>
      </w:r>
      <w:r>
        <w:rPr>
          <w:lang w:eastAsia="ko-KR"/>
        </w:rPr>
        <w:t>TTI length</w:t>
      </w:r>
      <w:r w:rsidR="006E7EB7">
        <w:rPr>
          <w:lang w:eastAsia="ko-KR"/>
        </w:rPr>
        <w:t>. Then, s</w:t>
      </w:r>
      <w:r w:rsidR="00F01BAA">
        <w:rPr>
          <w:lang w:eastAsia="ko-KR"/>
        </w:rPr>
        <w:t>hort drx-ULRetransmissionTimer may not guarantee enough time for the eNB to schedule retransmission with legacy TTI length, i.e., switch from sTTI to legacy TTI</w:t>
      </w:r>
      <w:r w:rsidR="006E7EB7">
        <w:rPr>
          <w:lang w:eastAsia="ko-KR"/>
        </w:rPr>
        <w:t>.</w:t>
      </w:r>
    </w:p>
    <w:p w14:paraId="4F687BE3" w14:textId="00BF193D" w:rsidR="00713ECC" w:rsidRDefault="001A5815" w:rsidP="00BF79B8">
      <w:pPr>
        <w:spacing w:after="180" w:line="240" w:lineRule="auto"/>
        <w:rPr>
          <w:lang w:val="en-US" w:eastAsia="ko-KR"/>
        </w:rPr>
      </w:pPr>
      <w:r>
        <w:rPr>
          <w:rFonts w:hint="eastAsia"/>
          <w:b/>
          <w:lang w:val="en-US" w:eastAsia="ko-KR"/>
        </w:rPr>
        <w:t xml:space="preserve">Observation 2. </w:t>
      </w:r>
      <w:r w:rsidRPr="001A5815">
        <w:rPr>
          <w:lang w:val="en-US" w:eastAsia="ko-KR"/>
        </w:rPr>
        <w:t>Even</w:t>
      </w:r>
      <w:r w:rsidR="006E7EB7">
        <w:rPr>
          <w:lang w:val="en-US" w:eastAsia="ko-KR"/>
        </w:rPr>
        <w:t xml:space="preserve"> if </w:t>
      </w:r>
      <w:r w:rsidRPr="001A5815">
        <w:rPr>
          <w:lang w:val="en-US" w:eastAsia="ko-KR"/>
        </w:rPr>
        <w:t>TTI length</w:t>
      </w:r>
      <w:r>
        <w:rPr>
          <w:lang w:val="en-US" w:eastAsia="ko-KR"/>
        </w:rPr>
        <w:t xml:space="preserve"> </w:t>
      </w:r>
      <w:r w:rsidR="00723C57" w:rsidRPr="001A5815">
        <w:rPr>
          <w:lang w:val="en-US" w:eastAsia="ko-KR"/>
        </w:rPr>
        <w:t xml:space="preserve">switching </w:t>
      </w:r>
      <w:r>
        <w:rPr>
          <w:lang w:val="en-US" w:eastAsia="ko-KR"/>
        </w:rPr>
        <w:t>is supported</w:t>
      </w:r>
      <w:r w:rsidRPr="001A5815">
        <w:rPr>
          <w:lang w:val="en-US" w:eastAsia="ko-KR"/>
        </w:rPr>
        <w:t>, considering</w:t>
      </w:r>
      <w:r>
        <w:rPr>
          <w:lang w:val="en-US" w:eastAsia="ko-KR"/>
        </w:rPr>
        <w:t xml:space="preserve"> DRX operation, i.e., drx-RetransmissionTimer in unit of TTI length that started the timer, there may not be enough time to switch TTI length, </w:t>
      </w:r>
      <w:r w:rsidR="00AB4F11">
        <w:rPr>
          <w:lang w:val="en-US" w:eastAsia="ko-KR"/>
        </w:rPr>
        <w:t>e.g.</w:t>
      </w:r>
      <w:r>
        <w:rPr>
          <w:lang w:val="en-US" w:eastAsia="ko-KR"/>
        </w:rPr>
        <w:t>, from sTTI to legacy TTI.</w:t>
      </w:r>
    </w:p>
    <w:p w14:paraId="1BD13792" w14:textId="77777777" w:rsidR="00F155AB" w:rsidRDefault="00F155AB" w:rsidP="00D31440">
      <w:pPr>
        <w:spacing w:after="180" w:line="240" w:lineRule="auto"/>
        <w:rPr>
          <w:lang w:val="en-US" w:eastAsia="ko-KR"/>
        </w:rPr>
      </w:pPr>
    </w:p>
    <w:p w14:paraId="7F2D71C4" w14:textId="43128444" w:rsidR="00723C57" w:rsidRDefault="00587164" w:rsidP="00D31440">
      <w:pPr>
        <w:spacing w:after="180" w:line="240" w:lineRule="auto"/>
        <w:rPr>
          <w:lang w:val="en-US" w:eastAsia="ko-KR"/>
        </w:rPr>
      </w:pPr>
      <w:r>
        <w:rPr>
          <w:lang w:val="en-US" w:eastAsia="ko-KR"/>
        </w:rPr>
        <w:t>In the meanwhile, it is claimed that o</w:t>
      </w:r>
      <w:r w:rsidR="00AB4F11">
        <w:rPr>
          <w:lang w:val="en-US" w:eastAsia="ko-KR"/>
        </w:rPr>
        <w:t xml:space="preserve">ne motivation of TTI length </w:t>
      </w:r>
      <w:r w:rsidR="00723C57">
        <w:rPr>
          <w:lang w:val="en-US" w:eastAsia="ko-KR"/>
        </w:rPr>
        <w:t xml:space="preserve">switching </w:t>
      </w:r>
      <w:r w:rsidR="00AB4F11">
        <w:rPr>
          <w:lang w:val="en-US" w:eastAsia="ko-KR"/>
        </w:rPr>
        <w:t xml:space="preserve">within one HARQ procedure is to provide flexibility to an eNB. However, it is not clear why eNB wants such flexibility </w:t>
      </w:r>
      <w:r w:rsidR="00723C57">
        <w:rPr>
          <w:lang w:val="en-US" w:eastAsia="ko-KR"/>
        </w:rPr>
        <w:t xml:space="preserve">and what would be a problem in using a </w:t>
      </w:r>
      <w:r w:rsidR="00723C57">
        <w:rPr>
          <w:lang w:val="en-US" w:eastAsia="ko-KR"/>
        </w:rPr>
        <w:lastRenderedPageBreak/>
        <w:t xml:space="preserve">fixed TTI length within one HARQ procedure. In addition, it is not well </w:t>
      </w:r>
      <w:r w:rsidR="00086EB7">
        <w:rPr>
          <w:lang w:val="en-US" w:eastAsia="ko-KR"/>
        </w:rPr>
        <w:t>explained</w:t>
      </w:r>
      <w:r w:rsidR="00723C57">
        <w:rPr>
          <w:lang w:val="en-US" w:eastAsia="ko-KR"/>
        </w:rPr>
        <w:t xml:space="preserve"> what the gain would be in terms of performance if we support TTI length switching.</w:t>
      </w:r>
    </w:p>
    <w:p w14:paraId="2DA0E2D3" w14:textId="441E7462" w:rsidR="00AB4F11" w:rsidRPr="00587164" w:rsidRDefault="00587164" w:rsidP="00DE1F10">
      <w:pPr>
        <w:spacing w:after="180" w:line="240" w:lineRule="auto"/>
        <w:rPr>
          <w:lang w:val="en-US" w:eastAsia="ko-KR"/>
        </w:rPr>
      </w:pPr>
      <w:r>
        <w:rPr>
          <w:rFonts w:hint="eastAsia"/>
          <w:b/>
          <w:lang w:val="en-US" w:eastAsia="ko-KR"/>
        </w:rPr>
        <w:t>Observation 3.</w:t>
      </w:r>
      <w:r>
        <w:rPr>
          <w:b/>
          <w:i/>
          <w:lang w:val="en-US" w:eastAsia="ko-KR"/>
        </w:rPr>
        <w:t xml:space="preserve"> </w:t>
      </w:r>
      <w:r>
        <w:rPr>
          <w:lang w:val="en-US" w:eastAsia="ko-KR"/>
        </w:rPr>
        <w:t xml:space="preserve">It is unclear </w:t>
      </w:r>
      <w:r w:rsidR="00DE1F10">
        <w:rPr>
          <w:lang w:val="en-US" w:eastAsia="ko-KR"/>
        </w:rPr>
        <w:t xml:space="preserve">what would be a problem in not supporting TTI length switching and what would be the gain in supporting TTI length switching. </w:t>
      </w:r>
    </w:p>
    <w:p w14:paraId="2AD3A08C" w14:textId="77777777" w:rsidR="00587164" w:rsidRDefault="00587164" w:rsidP="004D53C3">
      <w:pPr>
        <w:spacing w:after="180" w:line="240" w:lineRule="auto"/>
        <w:rPr>
          <w:lang w:val="en-US" w:eastAsia="ko-KR"/>
        </w:rPr>
      </w:pPr>
    </w:p>
    <w:p w14:paraId="3C958584" w14:textId="11ECB448" w:rsidR="00346DE8" w:rsidRDefault="00587164" w:rsidP="004D53C3">
      <w:pPr>
        <w:spacing w:after="180" w:line="240" w:lineRule="auto"/>
        <w:rPr>
          <w:lang w:val="en-US" w:eastAsia="ko-KR"/>
        </w:rPr>
      </w:pPr>
      <w:r>
        <w:rPr>
          <w:lang w:val="en-US" w:eastAsia="ko-KR"/>
        </w:rPr>
        <w:t>As seen in the observations</w:t>
      </w:r>
      <w:r>
        <w:rPr>
          <w:rFonts w:hint="eastAsia"/>
          <w:lang w:val="en-US" w:eastAsia="ko-KR"/>
        </w:rPr>
        <w:t xml:space="preserve">, </w:t>
      </w:r>
      <w:r w:rsidR="00E647CD">
        <w:rPr>
          <w:rFonts w:hint="eastAsia"/>
          <w:lang w:val="en-US" w:eastAsia="ko-KR"/>
        </w:rPr>
        <w:t xml:space="preserve">we </w:t>
      </w:r>
      <w:r w:rsidR="00AB4F11">
        <w:rPr>
          <w:lang w:val="en-US" w:eastAsia="ko-KR"/>
        </w:rPr>
        <w:t>don’t</w:t>
      </w:r>
      <w:r w:rsidR="00E647CD">
        <w:rPr>
          <w:lang w:val="en-US" w:eastAsia="ko-KR"/>
        </w:rPr>
        <w:t xml:space="preserve"> expect real </w:t>
      </w:r>
      <w:r w:rsidR="00F155AB">
        <w:rPr>
          <w:lang w:val="en-US" w:eastAsia="ko-KR"/>
        </w:rPr>
        <w:t>chance</w:t>
      </w:r>
      <w:r w:rsidR="00E647CD">
        <w:rPr>
          <w:lang w:val="en-US" w:eastAsia="ko-KR"/>
        </w:rPr>
        <w:t xml:space="preserve"> of TTI length </w:t>
      </w:r>
      <w:r w:rsidR="00723C57">
        <w:rPr>
          <w:lang w:val="en-US" w:eastAsia="ko-KR"/>
        </w:rPr>
        <w:t xml:space="preserve">switching </w:t>
      </w:r>
      <w:r w:rsidR="00E647CD">
        <w:rPr>
          <w:lang w:val="en-US" w:eastAsia="ko-KR"/>
        </w:rPr>
        <w:t>between new transmission and retransmission</w:t>
      </w:r>
      <w:r w:rsidR="00AB4F11">
        <w:rPr>
          <w:lang w:val="en-US" w:eastAsia="ko-KR"/>
        </w:rPr>
        <w:t xml:space="preserve"> or between retransmissions</w:t>
      </w:r>
      <w:r>
        <w:rPr>
          <w:lang w:val="en-US" w:eastAsia="ko-KR"/>
        </w:rPr>
        <w:t xml:space="preserve"> when considering LCP and DRX procedures</w:t>
      </w:r>
      <w:r w:rsidR="00AB4F11">
        <w:rPr>
          <w:lang w:val="en-US" w:eastAsia="ko-KR"/>
        </w:rPr>
        <w:t>.</w:t>
      </w:r>
      <w:r w:rsidR="00E647CD">
        <w:rPr>
          <w:lang w:val="en-US" w:eastAsia="ko-KR"/>
        </w:rPr>
        <w:t xml:space="preserve"> In addition,</w:t>
      </w:r>
      <w:r>
        <w:rPr>
          <w:lang w:val="en-US" w:eastAsia="ko-KR"/>
        </w:rPr>
        <w:t xml:space="preserve"> the benefit </w:t>
      </w:r>
      <w:r w:rsidR="00723C57">
        <w:rPr>
          <w:lang w:val="en-US" w:eastAsia="ko-KR"/>
        </w:rPr>
        <w:t xml:space="preserve">of supporting TTI length switching has not been shown yet </w:t>
      </w:r>
      <w:r>
        <w:rPr>
          <w:lang w:val="en-US" w:eastAsia="ko-KR"/>
        </w:rPr>
        <w:t xml:space="preserve">in terms of performance. </w:t>
      </w:r>
      <w:r w:rsidR="00723C57">
        <w:rPr>
          <w:lang w:val="en-US" w:eastAsia="ko-KR"/>
        </w:rPr>
        <w:t>Thus</w:t>
      </w:r>
      <w:r w:rsidR="00E647CD">
        <w:rPr>
          <w:lang w:val="en-US" w:eastAsia="ko-KR"/>
        </w:rPr>
        <w:t xml:space="preserve">, TTI length switching </w:t>
      </w:r>
      <w:r w:rsidR="00F155AB">
        <w:rPr>
          <w:lang w:val="en-US" w:eastAsia="ko-KR"/>
        </w:rPr>
        <w:t xml:space="preserve">seems not </w:t>
      </w:r>
      <w:r w:rsidR="00723C57">
        <w:rPr>
          <w:lang w:val="en-US" w:eastAsia="ko-KR"/>
        </w:rPr>
        <w:t xml:space="preserve">justified </w:t>
      </w:r>
      <w:r w:rsidR="00F155AB">
        <w:rPr>
          <w:lang w:val="en-US" w:eastAsia="ko-KR"/>
        </w:rPr>
        <w:t>from RAN2 perspective</w:t>
      </w:r>
      <w:r>
        <w:rPr>
          <w:lang w:val="en-US" w:eastAsia="ko-KR"/>
        </w:rPr>
        <w:t xml:space="preserve">, and </w:t>
      </w:r>
      <w:r w:rsidR="00F155AB">
        <w:rPr>
          <w:lang w:val="en-US" w:eastAsia="ko-KR"/>
        </w:rPr>
        <w:t>we propose that:</w:t>
      </w:r>
    </w:p>
    <w:p w14:paraId="3ABAA2C6" w14:textId="21801E81" w:rsidR="00E647CD" w:rsidRPr="00E647CD" w:rsidRDefault="00587164" w:rsidP="004D53C3">
      <w:pPr>
        <w:spacing w:after="180" w:line="240" w:lineRule="auto"/>
        <w:rPr>
          <w:b/>
          <w:lang w:val="en-US" w:eastAsia="ko-KR"/>
        </w:rPr>
      </w:pPr>
      <w:r>
        <w:rPr>
          <w:b/>
          <w:lang w:val="en-US" w:eastAsia="ko-KR"/>
        </w:rPr>
        <w:t>Proposal</w:t>
      </w:r>
      <w:r w:rsidR="00E647CD">
        <w:rPr>
          <w:b/>
          <w:lang w:val="en-US" w:eastAsia="ko-KR"/>
        </w:rPr>
        <w:t xml:space="preserve">. </w:t>
      </w:r>
      <w:r w:rsidR="00AD73FD">
        <w:rPr>
          <w:b/>
          <w:lang w:val="en-US" w:eastAsia="ko-KR"/>
        </w:rPr>
        <w:t>From</w:t>
      </w:r>
      <w:r w:rsidR="00E647CD">
        <w:rPr>
          <w:b/>
          <w:lang w:val="en-US" w:eastAsia="ko-KR"/>
        </w:rPr>
        <w:t xml:space="preserve"> RAN2</w:t>
      </w:r>
      <w:r w:rsidR="00AD73FD">
        <w:rPr>
          <w:b/>
          <w:lang w:val="en-US" w:eastAsia="ko-KR"/>
        </w:rPr>
        <w:t xml:space="preserve"> perspective</w:t>
      </w:r>
      <w:r w:rsidR="00E647CD">
        <w:rPr>
          <w:b/>
          <w:lang w:val="en-US" w:eastAsia="ko-KR"/>
        </w:rPr>
        <w:t>,</w:t>
      </w:r>
      <w:r w:rsidR="00723C57">
        <w:rPr>
          <w:b/>
          <w:lang w:val="en-US" w:eastAsia="ko-KR"/>
        </w:rPr>
        <w:t xml:space="preserve"> support of</w:t>
      </w:r>
      <w:r w:rsidR="00E647CD">
        <w:rPr>
          <w:b/>
          <w:lang w:val="en-US" w:eastAsia="ko-KR"/>
        </w:rPr>
        <w:t xml:space="preserve"> TTI length switching is not </w:t>
      </w:r>
      <w:r w:rsidR="00723C57">
        <w:rPr>
          <w:b/>
          <w:lang w:val="en-US" w:eastAsia="ko-KR"/>
        </w:rPr>
        <w:t>justified in terms of</w:t>
      </w:r>
      <w:r w:rsidR="00AD73FD">
        <w:rPr>
          <w:b/>
          <w:lang w:val="en-US" w:eastAsia="ko-KR"/>
        </w:rPr>
        <w:t xml:space="preserve"> the </w:t>
      </w:r>
      <w:r>
        <w:rPr>
          <w:b/>
          <w:lang w:val="en-US" w:eastAsia="ko-KR"/>
        </w:rPr>
        <w:t xml:space="preserve">use </w:t>
      </w:r>
      <w:r w:rsidR="00AD73FD">
        <w:rPr>
          <w:b/>
          <w:lang w:val="en-US" w:eastAsia="ko-KR"/>
        </w:rPr>
        <w:t>case</w:t>
      </w:r>
      <w:r>
        <w:rPr>
          <w:b/>
          <w:lang w:val="en-US" w:eastAsia="ko-KR"/>
        </w:rPr>
        <w:t xml:space="preserve"> and benefit</w:t>
      </w:r>
      <w:r w:rsidR="00E647CD">
        <w:rPr>
          <w:b/>
          <w:lang w:val="en-US" w:eastAsia="ko-KR"/>
        </w:rPr>
        <w:t>.</w:t>
      </w:r>
    </w:p>
    <w:p w14:paraId="56706492" w14:textId="684B40D8" w:rsidR="00784647" w:rsidRDefault="00784647" w:rsidP="00332E00">
      <w:pPr>
        <w:spacing w:after="180" w:line="240" w:lineRule="auto"/>
        <w:jc w:val="left"/>
        <w:rPr>
          <w:rFonts w:eastAsiaTheme="minorEastAsia"/>
          <w:lang w:eastAsia="ko-KR"/>
        </w:rPr>
      </w:pPr>
      <w:r>
        <w:rPr>
          <w:rFonts w:eastAsiaTheme="minorEastAsia" w:hint="eastAsia"/>
          <w:lang w:eastAsia="ko-KR"/>
        </w:rPr>
        <w:t xml:space="preserve">Given that </w:t>
      </w:r>
      <w:r w:rsidR="00BC4675">
        <w:rPr>
          <w:rFonts w:eastAsiaTheme="minorEastAsia"/>
          <w:lang w:eastAsia="ko-KR"/>
        </w:rPr>
        <w:t>TTI length switching is under discussion in RAN1, it would be desirable to send an LS to RAN1 to share RAN2 understanding of TTI length switching.</w:t>
      </w:r>
    </w:p>
    <w:p w14:paraId="5512DF3C" w14:textId="77777777" w:rsidR="000D2490" w:rsidRPr="00784647" w:rsidRDefault="000D2490" w:rsidP="00332E00">
      <w:pPr>
        <w:spacing w:after="180" w:line="240" w:lineRule="auto"/>
        <w:jc w:val="left"/>
        <w:rPr>
          <w:rFonts w:eastAsiaTheme="minorEastAsia"/>
          <w:lang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561D274" w14:textId="7F4DA2D1" w:rsidR="006E2B1D" w:rsidRPr="006E2B1D" w:rsidRDefault="006E2B1D" w:rsidP="006E2B1D">
      <w:pPr>
        <w:spacing w:after="180" w:line="240" w:lineRule="auto"/>
        <w:rPr>
          <w:lang w:eastAsia="ko-KR"/>
        </w:rPr>
      </w:pPr>
      <w:r w:rsidRPr="006E2B1D">
        <w:rPr>
          <w:rFonts w:hint="eastAsia"/>
          <w:lang w:eastAsia="ko-KR"/>
        </w:rPr>
        <w:t xml:space="preserve">In this contribution, we discuss </w:t>
      </w:r>
      <w:r w:rsidR="00525E43">
        <w:rPr>
          <w:lang w:eastAsia="ko-KR"/>
        </w:rPr>
        <w:t xml:space="preserve">the </w:t>
      </w:r>
      <w:r w:rsidR="00E82DD8">
        <w:rPr>
          <w:lang w:eastAsia="ko-KR"/>
        </w:rPr>
        <w:t xml:space="preserve">switching TTI length between new transmission and retransmission, or between retransmissions. Considering LCP and DRX procedures and expected benefit in terms of performance, we </w:t>
      </w:r>
      <w:r w:rsidR="00525E43">
        <w:rPr>
          <w:lang w:eastAsia="ko-KR"/>
        </w:rPr>
        <w:t>propose</w:t>
      </w:r>
      <w:r w:rsidR="00E82DD8">
        <w:rPr>
          <w:lang w:eastAsia="ko-KR"/>
        </w:rPr>
        <w:t xml:space="preserve"> that</w:t>
      </w:r>
      <w:r w:rsidR="00525E43">
        <w:rPr>
          <w:lang w:eastAsia="ko-KR"/>
        </w:rPr>
        <w:t>:</w:t>
      </w:r>
    </w:p>
    <w:p w14:paraId="65E2AD08" w14:textId="77777777" w:rsidR="00587164" w:rsidRPr="00F01BAA" w:rsidRDefault="00587164" w:rsidP="00587164">
      <w:pPr>
        <w:spacing w:after="180" w:line="240" w:lineRule="auto"/>
        <w:rPr>
          <w:lang w:val="en-US" w:eastAsia="ko-KR"/>
        </w:rPr>
      </w:pPr>
      <w:r w:rsidRPr="00F01BAA">
        <w:rPr>
          <w:b/>
          <w:lang w:val="en-US" w:eastAsia="ko-KR"/>
        </w:rPr>
        <w:t>Observation</w:t>
      </w:r>
      <w:r>
        <w:rPr>
          <w:b/>
          <w:lang w:val="en-US" w:eastAsia="ko-KR"/>
        </w:rPr>
        <w:t xml:space="preserve"> 1</w:t>
      </w:r>
      <w:r w:rsidRPr="00F01BAA">
        <w:rPr>
          <w:b/>
          <w:lang w:val="en-US" w:eastAsia="ko-KR"/>
        </w:rPr>
        <w:t xml:space="preserve">. </w:t>
      </w:r>
      <w:r w:rsidRPr="00F01BAA">
        <w:rPr>
          <w:lang w:val="en-US" w:eastAsia="ko-KR"/>
        </w:rPr>
        <w:t xml:space="preserve">Considering the TTI type restriction of a logical channel and a possible multiplexing in a MAC PDU as a result of LCP procedure, there is no </w:t>
      </w:r>
      <w:r>
        <w:rPr>
          <w:lang w:val="en-US" w:eastAsia="ko-KR"/>
        </w:rPr>
        <w:t>chance</w:t>
      </w:r>
      <w:r w:rsidRPr="00F01BAA">
        <w:rPr>
          <w:lang w:val="en-US" w:eastAsia="ko-KR"/>
        </w:rPr>
        <w:t xml:space="preserve"> to switch TTI length within one HARQ procedure, i.e., between new transmission and retransmission, or between retransmissions.</w:t>
      </w:r>
    </w:p>
    <w:p w14:paraId="441509C9" w14:textId="77777777" w:rsidR="00587164" w:rsidRDefault="00587164" w:rsidP="00587164">
      <w:pPr>
        <w:spacing w:after="180" w:line="240" w:lineRule="auto"/>
        <w:rPr>
          <w:lang w:val="en-US" w:eastAsia="ko-KR"/>
        </w:rPr>
      </w:pPr>
      <w:r>
        <w:rPr>
          <w:rFonts w:hint="eastAsia"/>
          <w:b/>
          <w:lang w:val="en-US" w:eastAsia="ko-KR"/>
        </w:rPr>
        <w:t xml:space="preserve">Observation 2. </w:t>
      </w:r>
      <w:r w:rsidRPr="001A5815">
        <w:rPr>
          <w:lang w:val="en-US" w:eastAsia="ko-KR"/>
        </w:rPr>
        <w:t>Even</w:t>
      </w:r>
      <w:r>
        <w:rPr>
          <w:lang w:val="en-US" w:eastAsia="ko-KR"/>
        </w:rPr>
        <w:t xml:space="preserve"> if </w:t>
      </w:r>
      <w:r w:rsidRPr="001A5815">
        <w:rPr>
          <w:lang w:val="en-US" w:eastAsia="ko-KR"/>
        </w:rPr>
        <w:t>switching TTI length</w:t>
      </w:r>
      <w:r>
        <w:rPr>
          <w:lang w:val="en-US" w:eastAsia="ko-KR"/>
        </w:rPr>
        <w:t xml:space="preserve"> is supported</w:t>
      </w:r>
      <w:r w:rsidRPr="001A5815">
        <w:rPr>
          <w:lang w:val="en-US" w:eastAsia="ko-KR"/>
        </w:rPr>
        <w:t>, considering</w:t>
      </w:r>
      <w:r>
        <w:rPr>
          <w:lang w:val="en-US" w:eastAsia="ko-KR"/>
        </w:rPr>
        <w:t xml:space="preserve"> DRX operation, i.e., drx-RetransmissionTimer in unit of TTI length that started the timer, there may not be enough time to switch TTI length, e.g., from sTTI to legacy TTI.</w:t>
      </w:r>
    </w:p>
    <w:p w14:paraId="35E9FF9D" w14:textId="77777777" w:rsidR="00E0083D" w:rsidRPr="00587164" w:rsidRDefault="00E0083D" w:rsidP="00E0083D">
      <w:pPr>
        <w:spacing w:after="180" w:line="240" w:lineRule="auto"/>
        <w:rPr>
          <w:lang w:val="en-US" w:eastAsia="ko-KR"/>
        </w:rPr>
      </w:pPr>
      <w:r>
        <w:rPr>
          <w:rFonts w:hint="eastAsia"/>
          <w:b/>
          <w:lang w:val="en-US" w:eastAsia="ko-KR"/>
        </w:rPr>
        <w:t>Observation 3.</w:t>
      </w:r>
      <w:r>
        <w:rPr>
          <w:b/>
          <w:i/>
          <w:lang w:val="en-US" w:eastAsia="ko-KR"/>
        </w:rPr>
        <w:t xml:space="preserve"> </w:t>
      </w:r>
      <w:r>
        <w:rPr>
          <w:lang w:val="en-US" w:eastAsia="ko-KR"/>
        </w:rPr>
        <w:t xml:space="preserve">It is unclear what would be a problem in not supporting TTI length switching and what would be the gain in supporting TTI length switching. </w:t>
      </w:r>
    </w:p>
    <w:p w14:paraId="00B80298" w14:textId="77777777" w:rsidR="00723C57" w:rsidRPr="001D51D3" w:rsidRDefault="00723C57" w:rsidP="00723C57">
      <w:pPr>
        <w:spacing w:after="180" w:line="240" w:lineRule="auto"/>
        <w:rPr>
          <w:b/>
          <w:lang w:val="en-US" w:eastAsia="ko-KR"/>
        </w:rPr>
      </w:pPr>
      <w:r w:rsidRPr="001D51D3">
        <w:rPr>
          <w:b/>
          <w:lang w:val="en-US" w:eastAsia="ko-KR"/>
        </w:rPr>
        <w:t>Proposal. From RAN2 perspective, support of TTI length switching is not justified in terms of the use case and benefit.</w:t>
      </w:r>
    </w:p>
    <w:p w14:paraId="08B95715" w14:textId="41AEB1AA" w:rsidR="00907C38" w:rsidRPr="00723C57" w:rsidRDefault="00907C38" w:rsidP="00587164">
      <w:pPr>
        <w:spacing w:after="180" w:line="240" w:lineRule="auto"/>
        <w:rPr>
          <w:lang w:val="en-US" w:eastAsia="ko-KR"/>
        </w:rPr>
      </w:pPr>
    </w:p>
    <w:sectPr w:rsidR="00907C38" w:rsidRPr="00723C57">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22AEF" w14:textId="77777777" w:rsidR="00F309E4" w:rsidRDefault="00F309E4">
      <w:pPr>
        <w:spacing w:after="0"/>
      </w:pPr>
      <w:r>
        <w:separator/>
      </w:r>
    </w:p>
  </w:endnote>
  <w:endnote w:type="continuationSeparator" w:id="0">
    <w:p w14:paraId="2D0D3B38" w14:textId="77777777" w:rsidR="00F309E4" w:rsidRDefault="00F309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A353E">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C37AD" w14:textId="77777777" w:rsidR="00F309E4" w:rsidRDefault="00F309E4">
      <w:pPr>
        <w:spacing w:after="0"/>
      </w:pPr>
      <w:r>
        <w:separator/>
      </w:r>
    </w:p>
  </w:footnote>
  <w:footnote w:type="continuationSeparator" w:id="0">
    <w:p w14:paraId="7A68B313" w14:textId="77777777" w:rsidR="00F309E4" w:rsidRDefault="00F309E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C90E13"/>
    <w:multiLevelType w:val="hybridMultilevel"/>
    <w:tmpl w:val="2C1A66C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3">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54561BA1"/>
    <w:multiLevelType w:val="hybridMultilevel"/>
    <w:tmpl w:val="91FCDAF2"/>
    <w:lvl w:ilvl="0" w:tplc="41E2D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43A51A8"/>
    <w:multiLevelType w:val="hybridMultilevel"/>
    <w:tmpl w:val="E51E6C46"/>
    <w:lvl w:ilvl="0" w:tplc="AF7A7E8A">
      <w:start w:val="129"/>
      <w:numFmt w:val="bullet"/>
      <w:lvlText w:val="-"/>
      <w:lvlJc w:val="left"/>
      <w:pPr>
        <w:ind w:left="-4141" w:hanging="360"/>
      </w:pPr>
      <w:rPr>
        <w:rFonts w:ascii="Calibri" w:eastAsia="Calibri" w:hAnsi="Calibri" w:cs="Times New Roman" w:hint="default"/>
      </w:rPr>
    </w:lvl>
    <w:lvl w:ilvl="1" w:tplc="04090019" w:tentative="1">
      <w:start w:val="1"/>
      <w:numFmt w:val="bullet"/>
      <w:lvlText w:val="o"/>
      <w:lvlJc w:val="left"/>
      <w:pPr>
        <w:ind w:left="-3421" w:hanging="360"/>
      </w:pPr>
      <w:rPr>
        <w:rFonts w:ascii="Courier New" w:hAnsi="Courier New" w:cs="Courier New" w:hint="default"/>
      </w:rPr>
    </w:lvl>
    <w:lvl w:ilvl="2" w:tplc="0409001B" w:tentative="1">
      <w:start w:val="1"/>
      <w:numFmt w:val="bullet"/>
      <w:lvlText w:val=""/>
      <w:lvlJc w:val="left"/>
      <w:pPr>
        <w:ind w:left="-2701" w:hanging="360"/>
      </w:pPr>
      <w:rPr>
        <w:rFonts w:ascii="Wingdings" w:hAnsi="Wingdings" w:hint="default"/>
      </w:rPr>
    </w:lvl>
    <w:lvl w:ilvl="3" w:tplc="0409000F" w:tentative="1">
      <w:start w:val="1"/>
      <w:numFmt w:val="bullet"/>
      <w:lvlText w:val=""/>
      <w:lvlJc w:val="left"/>
      <w:pPr>
        <w:ind w:left="-1981" w:hanging="360"/>
      </w:pPr>
      <w:rPr>
        <w:rFonts w:ascii="Symbol" w:hAnsi="Symbol" w:hint="default"/>
      </w:rPr>
    </w:lvl>
    <w:lvl w:ilvl="4" w:tplc="04090019" w:tentative="1">
      <w:start w:val="1"/>
      <w:numFmt w:val="bullet"/>
      <w:lvlText w:val="o"/>
      <w:lvlJc w:val="left"/>
      <w:pPr>
        <w:ind w:left="-1261" w:hanging="360"/>
      </w:pPr>
      <w:rPr>
        <w:rFonts w:ascii="Courier New" w:hAnsi="Courier New" w:cs="Courier New" w:hint="default"/>
      </w:rPr>
    </w:lvl>
    <w:lvl w:ilvl="5" w:tplc="0409001B" w:tentative="1">
      <w:start w:val="1"/>
      <w:numFmt w:val="bullet"/>
      <w:lvlText w:val=""/>
      <w:lvlJc w:val="left"/>
      <w:pPr>
        <w:ind w:left="-541" w:hanging="360"/>
      </w:pPr>
      <w:rPr>
        <w:rFonts w:ascii="Wingdings" w:hAnsi="Wingdings" w:hint="default"/>
      </w:rPr>
    </w:lvl>
    <w:lvl w:ilvl="6" w:tplc="0409000F" w:tentative="1">
      <w:start w:val="1"/>
      <w:numFmt w:val="bullet"/>
      <w:lvlText w:val=""/>
      <w:lvlJc w:val="left"/>
      <w:pPr>
        <w:ind w:left="179" w:hanging="360"/>
      </w:pPr>
      <w:rPr>
        <w:rFonts w:ascii="Symbol" w:hAnsi="Symbol" w:hint="default"/>
      </w:rPr>
    </w:lvl>
    <w:lvl w:ilvl="7" w:tplc="04090019" w:tentative="1">
      <w:start w:val="1"/>
      <w:numFmt w:val="bullet"/>
      <w:lvlText w:val="o"/>
      <w:lvlJc w:val="left"/>
      <w:pPr>
        <w:ind w:left="899" w:hanging="360"/>
      </w:pPr>
      <w:rPr>
        <w:rFonts w:ascii="Courier New" w:hAnsi="Courier New" w:cs="Courier New" w:hint="default"/>
      </w:rPr>
    </w:lvl>
    <w:lvl w:ilvl="8" w:tplc="0409001B" w:tentative="1">
      <w:start w:val="1"/>
      <w:numFmt w:val="bullet"/>
      <w:lvlText w:val=""/>
      <w:lvlJc w:val="left"/>
      <w:pPr>
        <w:ind w:left="1619" w:hanging="360"/>
      </w:pPr>
      <w:rPr>
        <w:rFonts w:ascii="Wingdings" w:hAnsi="Wingdings" w:hint="default"/>
      </w:rPr>
    </w:lvl>
  </w:abstractNum>
  <w:abstractNum w:abstractNumId="18">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13"/>
  </w:num>
  <w:num w:numId="4">
    <w:abstractNumId w:val="18"/>
  </w:num>
  <w:num w:numId="5">
    <w:abstractNumId w:val="19"/>
  </w:num>
  <w:num w:numId="6">
    <w:abstractNumId w:val="4"/>
  </w:num>
  <w:num w:numId="7">
    <w:abstractNumId w:val="21"/>
  </w:num>
  <w:num w:numId="8">
    <w:abstractNumId w:val="1"/>
  </w:num>
  <w:num w:numId="9">
    <w:abstractNumId w:val="12"/>
  </w:num>
  <w:num w:numId="10">
    <w:abstractNumId w:val="5"/>
  </w:num>
  <w:num w:numId="11">
    <w:abstractNumId w:val="20"/>
  </w:num>
  <w:num w:numId="12">
    <w:abstractNumId w:val="9"/>
  </w:num>
  <w:num w:numId="13">
    <w:abstractNumId w:val="6"/>
  </w:num>
  <w:num w:numId="14">
    <w:abstractNumId w:val="8"/>
  </w:num>
  <w:num w:numId="15">
    <w:abstractNumId w:val="2"/>
  </w:num>
  <w:num w:numId="16">
    <w:abstractNumId w:val="16"/>
  </w:num>
  <w:num w:numId="17">
    <w:abstractNumId w:val="0"/>
  </w:num>
  <w:num w:numId="18">
    <w:abstractNumId w:val="7"/>
  </w:num>
  <w:num w:numId="19">
    <w:abstractNumId w:val="11"/>
  </w:num>
  <w:num w:numId="20">
    <w:abstractNumId w:val="15"/>
  </w:num>
  <w:num w:numId="21">
    <w:abstractNumId w:val="17"/>
  </w:num>
  <w:num w:numId="22">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C99"/>
    <w:rsid w:val="00020E88"/>
    <w:rsid w:val="00021538"/>
    <w:rsid w:val="00021997"/>
    <w:rsid w:val="00023A75"/>
    <w:rsid w:val="000243C8"/>
    <w:rsid w:val="0002587B"/>
    <w:rsid w:val="0002594D"/>
    <w:rsid w:val="000306B0"/>
    <w:rsid w:val="00030976"/>
    <w:rsid w:val="00030B4D"/>
    <w:rsid w:val="00030B9F"/>
    <w:rsid w:val="00031086"/>
    <w:rsid w:val="000316B9"/>
    <w:rsid w:val="00031ADF"/>
    <w:rsid w:val="00032C17"/>
    <w:rsid w:val="00032F37"/>
    <w:rsid w:val="00037218"/>
    <w:rsid w:val="000412FF"/>
    <w:rsid w:val="0004236A"/>
    <w:rsid w:val="0004263B"/>
    <w:rsid w:val="00043C1E"/>
    <w:rsid w:val="00044A28"/>
    <w:rsid w:val="00044BA7"/>
    <w:rsid w:val="00045BF6"/>
    <w:rsid w:val="00045D88"/>
    <w:rsid w:val="00045FFD"/>
    <w:rsid w:val="00051638"/>
    <w:rsid w:val="00051B92"/>
    <w:rsid w:val="00051D3F"/>
    <w:rsid w:val="00052BF7"/>
    <w:rsid w:val="00054092"/>
    <w:rsid w:val="0005415A"/>
    <w:rsid w:val="000562B9"/>
    <w:rsid w:val="00057949"/>
    <w:rsid w:val="00060A94"/>
    <w:rsid w:val="00060B91"/>
    <w:rsid w:val="00060D52"/>
    <w:rsid w:val="000630F2"/>
    <w:rsid w:val="00063FE5"/>
    <w:rsid w:val="0006430A"/>
    <w:rsid w:val="00064AE5"/>
    <w:rsid w:val="00065DA3"/>
    <w:rsid w:val="000669F9"/>
    <w:rsid w:val="000725CE"/>
    <w:rsid w:val="000728C8"/>
    <w:rsid w:val="00072963"/>
    <w:rsid w:val="00073FCF"/>
    <w:rsid w:val="00074AE3"/>
    <w:rsid w:val="00076A20"/>
    <w:rsid w:val="00077913"/>
    <w:rsid w:val="00080C6F"/>
    <w:rsid w:val="00081E57"/>
    <w:rsid w:val="0008271B"/>
    <w:rsid w:val="00084608"/>
    <w:rsid w:val="00084C86"/>
    <w:rsid w:val="0008583D"/>
    <w:rsid w:val="00086EB7"/>
    <w:rsid w:val="00087BAD"/>
    <w:rsid w:val="0009085A"/>
    <w:rsid w:val="00090F74"/>
    <w:rsid w:val="000916FD"/>
    <w:rsid w:val="000922AD"/>
    <w:rsid w:val="00092C0C"/>
    <w:rsid w:val="00092DA6"/>
    <w:rsid w:val="00093526"/>
    <w:rsid w:val="00093C24"/>
    <w:rsid w:val="00095D2D"/>
    <w:rsid w:val="0009668A"/>
    <w:rsid w:val="0009690C"/>
    <w:rsid w:val="00096F63"/>
    <w:rsid w:val="000A1B9F"/>
    <w:rsid w:val="000A36BE"/>
    <w:rsid w:val="000A49B1"/>
    <w:rsid w:val="000A5084"/>
    <w:rsid w:val="000A5139"/>
    <w:rsid w:val="000A6EB4"/>
    <w:rsid w:val="000A6F71"/>
    <w:rsid w:val="000A755E"/>
    <w:rsid w:val="000A76C1"/>
    <w:rsid w:val="000B1365"/>
    <w:rsid w:val="000B178B"/>
    <w:rsid w:val="000B1973"/>
    <w:rsid w:val="000B2108"/>
    <w:rsid w:val="000B39FD"/>
    <w:rsid w:val="000B426A"/>
    <w:rsid w:val="000B44CB"/>
    <w:rsid w:val="000B51AA"/>
    <w:rsid w:val="000B54AD"/>
    <w:rsid w:val="000B5A50"/>
    <w:rsid w:val="000B745D"/>
    <w:rsid w:val="000B7736"/>
    <w:rsid w:val="000B7CFD"/>
    <w:rsid w:val="000C1F3E"/>
    <w:rsid w:val="000C25DB"/>
    <w:rsid w:val="000C2E5E"/>
    <w:rsid w:val="000C57B2"/>
    <w:rsid w:val="000C5B97"/>
    <w:rsid w:val="000C618E"/>
    <w:rsid w:val="000C6778"/>
    <w:rsid w:val="000D2490"/>
    <w:rsid w:val="000D4573"/>
    <w:rsid w:val="000D574E"/>
    <w:rsid w:val="000D596C"/>
    <w:rsid w:val="000D5AFD"/>
    <w:rsid w:val="000D5EB0"/>
    <w:rsid w:val="000D6D26"/>
    <w:rsid w:val="000D7A3C"/>
    <w:rsid w:val="000E01E8"/>
    <w:rsid w:val="000E2199"/>
    <w:rsid w:val="000E2A22"/>
    <w:rsid w:val="000E33EB"/>
    <w:rsid w:val="000E3A66"/>
    <w:rsid w:val="000E4BFC"/>
    <w:rsid w:val="000E4D8C"/>
    <w:rsid w:val="000E6BBF"/>
    <w:rsid w:val="000F0FDC"/>
    <w:rsid w:val="000F1C58"/>
    <w:rsid w:val="000F48D6"/>
    <w:rsid w:val="000F4DB2"/>
    <w:rsid w:val="000F5979"/>
    <w:rsid w:val="000F5BAB"/>
    <w:rsid w:val="000F61C9"/>
    <w:rsid w:val="000F7117"/>
    <w:rsid w:val="00100426"/>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6CF1"/>
    <w:rsid w:val="00141ED5"/>
    <w:rsid w:val="0014202B"/>
    <w:rsid w:val="0014238B"/>
    <w:rsid w:val="00142D42"/>
    <w:rsid w:val="00143166"/>
    <w:rsid w:val="00145768"/>
    <w:rsid w:val="00145AEB"/>
    <w:rsid w:val="0014633D"/>
    <w:rsid w:val="00146C39"/>
    <w:rsid w:val="00146CA6"/>
    <w:rsid w:val="0015302A"/>
    <w:rsid w:val="00154462"/>
    <w:rsid w:val="00155035"/>
    <w:rsid w:val="00156848"/>
    <w:rsid w:val="00156BDE"/>
    <w:rsid w:val="00157FB6"/>
    <w:rsid w:val="0016000F"/>
    <w:rsid w:val="00161D40"/>
    <w:rsid w:val="001626D8"/>
    <w:rsid w:val="0016276E"/>
    <w:rsid w:val="00164847"/>
    <w:rsid w:val="00171197"/>
    <w:rsid w:val="00171CC9"/>
    <w:rsid w:val="00172AA4"/>
    <w:rsid w:val="001756F3"/>
    <w:rsid w:val="00175B5E"/>
    <w:rsid w:val="00177509"/>
    <w:rsid w:val="00177B9C"/>
    <w:rsid w:val="00180176"/>
    <w:rsid w:val="00180805"/>
    <w:rsid w:val="00181233"/>
    <w:rsid w:val="001815BC"/>
    <w:rsid w:val="00181673"/>
    <w:rsid w:val="00182B03"/>
    <w:rsid w:val="00183E91"/>
    <w:rsid w:val="00184A88"/>
    <w:rsid w:val="00185AA5"/>
    <w:rsid w:val="00185F32"/>
    <w:rsid w:val="00186033"/>
    <w:rsid w:val="00186988"/>
    <w:rsid w:val="00187F07"/>
    <w:rsid w:val="00190BB8"/>
    <w:rsid w:val="00192ED4"/>
    <w:rsid w:val="00193259"/>
    <w:rsid w:val="00193B8F"/>
    <w:rsid w:val="00194F2E"/>
    <w:rsid w:val="00196AEC"/>
    <w:rsid w:val="0019714D"/>
    <w:rsid w:val="0019735B"/>
    <w:rsid w:val="00197FE8"/>
    <w:rsid w:val="001A1173"/>
    <w:rsid w:val="001A34EC"/>
    <w:rsid w:val="001A3837"/>
    <w:rsid w:val="001A41C4"/>
    <w:rsid w:val="001A5815"/>
    <w:rsid w:val="001A741C"/>
    <w:rsid w:val="001A7566"/>
    <w:rsid w:val="001A7FDC"/>
    <w:rsid w:val="001B0600"/>
    <w:rsid w:val="001B07F7"/>
    <w:rsid w:val="001B0C34"/>
    <w:rsid w:val="001B24D4"/>
    <w:rsid w:val="001B2F15"/>
    <w:rsid w:val="001B34BE"/>
    <w:rsid w:val="001B485C"/>
    <w:rsid w:val="001B4C03"/>
    <w:rsid w:val="001B6C90"/>
    <w:rsid w:val="001C0D2C"/>
    <w:rsid w:val="001C0D75"/>
    <w:rsid w:val="001C0DD9"/>
    <w:rsid w:val="001C5B1B"/>
    <w:rsid w:val="001C7123"/>
    <w:rsid w:val="001C7F31"/>
    <w:rsid w:val="001D00F6"/>
    <w:rsid w:val="001D0621"/>
    <w:rsid w:val="001D105B"/>
    <w:rsid w:val="001D321E"/>
    <w:rsid w:val="001D340E"/>
    <w:rsid w:val="001D3C5B"/>
    <w:rsid w:val="001D51D3"/>
    <w:rsid w:val="001D6538"/>
    <w:rsid w:val="001D708B"/>
    <w:rsid w:val="001D7CDB"/>
    <w:rsid w:val="001E0E22"/>
    <w:rsid w:val="001E2292"/>
    <w:rsid w:val="001E29FB"/>
    <w:rsid w:val="001E426A"/>
    <w:rsid w:val="001E43BF"/>
    <w:rsid w:val="001E4C0D"/>
    <w:rsid w:val="001E58AD"/>
    <w:rsid w:val="001E7942"/>
    <w:rsid w:val="001F244F"/>
    <w:rsid w:val="001F27FD"/>
    <w:rsid w:val="001F3DA5"/>
    <w:rsid w:val="001F48C3"/>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1C0C"/>
    <w:rsid w:val="00231E72"/>
    <w:rsid w:val="00233DC1"/>
    <w:rsid w:val="00233F8B"/>
    <w:rsid w:val="00234F09"/>
    <w:rsid w:val="00235375"/>
    <w:rsid w:val="00235EAE"/>
    <w:rsid w:val="002370FA"/>
    <w:rsid w:val="00240047"/>
    <w:rsid w:val="00240EF2"/>
    <w:rsid w:val="00241F15"/>
    <w:rsid w:val="00242523"/>
    <w:rsid w:val="002426F4"/>
    <w:rsid w:val="002435FE"/>
    <w:rsid w:val="002436D5"/>
    <w:rsid w:val="00244E8C"/>
    <w:rsid w:val="00245633"/>
    <w:rsid w:val="00245852"/>
    <w:rsid w:val="002503B8"/>
    <w:rsid w:val="00252558"/>
    <w:rsid w:val="00253113"/>
    <w:rsid w:val="00253328"/>
    <w:rsid w:val="002536D3"/>
    <w:rsid w:val="002545C1"/>
    <w:rsid w:val="00261EF2"/>
    <w:rsid w:val="00262C7F"/>
    <w:rsid w:val="002635A5"/>
    <w:rsid w:val="002664C3"/>
    <w:rsid w:val="002705F2"/>
    <w:rsid w:val="00271AB9"/>
    <w:rsid w:val="00272011"/>
    <w:rsid w:val="00272C90"/>
    <w:rsid w:val="00273CBB"/>
    <w:rsid w:val="00275506"/>
    <w:rsid w:val="002761EF"/>
    <w:rsid w:val="002775FD"/>
    <w:rsid w:val="00281E66"/>
    <w:rsid w:val="00282527"/>
    <w:rsid w:val="00283535"/>
    <w:rsid w:val="002837C2"/>
    <w:rsid w:val="00283EC7"/>
    <w:rsid w:val="00284D97"/>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129D"/>
    <w:rsid w:val="002A5CA9"/>
    <w:rsid w:val="002A7B64"/>
    <w:rsid w:val="002B0B41"/>
    <w:rsid w:val="002B2302"/>
    <w:rsid w:val="002B2FC3"/>
    <w:rsid w:val="002B4B0C"/>
    <w:rsid w:val="002B5E00"/>
    <w:rsid w:val="002B72EC"/>
    <w:rsid w:val="002C0EE8"/>
    <w:rsid w:val="002C2038"/>
    <w:rsid w:val="002C5063"/>
    <w:rsid w:val="002C68E8"/>
    <w:rsid w:val="002C7EA1"/>
    <w:rsid w:val="002D04D0"/>
    <w:rsid w:val="002D0EF1"/>
    <w:rsid w:val="002D195F"/>
    <w:rsid w:val="002D2752"/>
    <w:rsid w:val="002D2987"/>
    <w:rsid w:val="002D2D94"/>
    <w:rsid w:val="002D31FE"/>
    <w:rsid w:val="002D35E9"/>
    <w:rsid w:val="002D394C"/>
    <w:rsid w:val="002D534B"/>
    <w:rsid w:val="002D5EF6"/>
    <w:rsid w:val="002D6D92"/>
    <w:rsid w:val="002D7F83"/>
    <w:rsid w:val="002E02F8"/>
    <w:rsid w:val="002E2163"/>
    <w:rsid w:val="002E2FAF"/>
    <w:rsid w:val="002E3D87"/>
    <w:rsid w:val="002E462E"/>
    <w:rsid w:val="002E5063"/>
    <w:rsid w:val="002E5584"/>
    <w:rsid w:val="002E68DD"/>
    <w:rsid w:val="002E7F34"/>
    <w:rsid w:val="002F1083"/>
    <w:rsid w:val="002F13C9"/>
    <w:rsid w:val="002F1B1C"/>
    <w:rsid w:val="002F20F0"/>
    <w:rsid w:val="002F2870"/>
    <w:rsid w:val="002F2F02"/>
    <w:rsid w:val="002F342B"/>
    <w:rsid w:val="00300787"/>
    <w:rsid w:val="00300EB2"/>
    <w:rsid w:val="00301D62"/>
    <w:rsid w:val="003031B7"/>
    <w:rsid w:val="003061F5"/>
    <w:rsid w:val="0030778B"/>
    <w:rsid w:val="00310355"/>
    <w:rsid w:val="0031050B"/>
    <w:rsid w:val="00310647"/>
    <w:rsid w:val="00310E8F"/>
    <w:rsid w:val="00312988"/>
    <w:rsid w:val="00312FCC"/>
    <w:rsid w:val="00314785"/>
    <w:rsid w:val="00314E20"/>
    <w:rsid w:val="0031582A"/>
    <w:rsid w:val="00317C33"/>
    <w:rsid w:val="00321397"/>
    <w:rsid w:val="00321E5E"/>
    <w:rsid w:val="0032315B"/>
    <w:rsid w:val="00323330"/>
    <w:rsid w:val="0032504A"/>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46DE8"/>
    <w:rsid w:val="00350C6C"/>
    <w:rsid w:val="0035137D"/>
    <w:rsid w:val="0035205F"/>
    <w:rsid w:val="00352645"/>
    <w:rsid w:val="00355DA5"/>
    <w:rsid w:val="00361B65"/>
    <w:rsid w:val="00361BBE"/>
    <w:rsid w:val="00361E2C"/>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5B6C"/>
    <w:rsid w:val="0039657E"/>
    <w:rsid w:val="003969F9"/>
    <w:rsid w:val="00396DE3"/>
    <w:rsid w:val="003A17B9"/>
    <w:rsid w:val="003A1EDE"/>
    <w:rsid w:val="003A28A3"/>
    <w:rsid w:val="003A2B29"/>
    <w:rsid w:val="003A4EB9"/>
    <w:rsid w:val="003A75D1"/>
    <w:rsid w:val="003B13C6"/>
    <w:rsid w:val="003B14B9"/>
    <w:rsid w:val="003B1BFA"/>
    <w:rsid w:val="003B2B71"/>
    <w:rsid w:val="003B382D"/>
    <w:rsid w:val="003B3FCE"/>
    <w:rsid w:val="003B4328"/>
    <w:rsid w:val="003B6BA2"/>
    <w:rsid w:val="003B7786"/>
    <w:rsid w:val="003C3F12"/>
    <w:rsid w:val="003C4BB8"/>
    <w:rsid w:val="003C5412"/>
    <w:rsid w:val="003C5FCD"/>
    <w:rsid w:val="003C6234"/>
    <w:rsid w:val="003C7260"/>
    <w:rsid w:val="003D2CF1"/>
    <w:rsid w:val="003D53D1"/>
    <w:rsid w:val="003E0FFC"/>
    <w:rsid w:val="003E2AC4"/>
    <w:rsid w:val="003E45B0"/>
    <w:rsid w:val="003E5478"/>
    <w:rsid w:val="003E6F11"/>
    <w:rsid w:val="003E7378"/>
    <w:rsid w:val="003E763F"/>
    <w:rsid w:val="003F1428"/>
    <w:rsid w:val="003F3B1F"/>
    <w:rsid w:val="003F4C71"/>
    <w:rsid w:val="003F50EA"/>
    <w:rsid w:val="003F5F3C"/>
    <w:rsid w:val="003F6563"/>
    <w:rsid w:val="003F6BAB"/>
    <w:rsid w:val="003F79BA"/>
    <w:rsid w:val="004024DF"/>
    <w:rsid w:val="004026CF"/>
    <w:rsid w:val="00402CE2"/>
    <w:rsid w:val="00403471"/>
    <w:rsid w:val="00404342"/>
    <w:rsid w:val="00404B0B"/>
    <w:rsid w:val="00404DC6"/>
    <w:rsid w:val="00407B10"/>
    <w:rsid w:val="004113D3"/>
    <w:rsid w:val="0041156A"/>
    <w:rsid w:val="004118B7"/>
    <w:rsid w:val="0041338F"/>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0A3"/>
    <w:rsid w:val="00437713"/>
    <w:rsid w:val="0043775A"/>
    <w:rsid w:val="004379AD"/>
    <w:rsid w:val="00440B17"/>
    <w:rsid w:val="00440EE6"/>
    <w:rsid w:val="004411EA"/>
    <w:rsid w:val="00442F91"/>
    <w:rsid w:val="0044377D"/>
    <w:rsid w:val="00443A0F"/>
    <w:rsid w:val="004449B2"/>
    <w:rsid w:val="00444BC1"/>
    <w:rsid w:val="00446F76"/>
    <w:rsid w:val="0044731D"/>
    <w:rsid w:val="00450BB2"/>
    <w:rsid w:val="00450D1D"/>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6C5B"/>
    <w:rsid w:val="00477142"/>
    <w:rsid w:val="004774C3"/>
    <w:rsid w:val="0048005E"/>
    <w:rsid w:val="00482774"/>
    <w:rsid w:val="004846B5"/>
    <w:rsid w:val="00485717"/>
    <w:rsid w:val="004871B0"/>
    <w:rsid w:val="00487603"/>
    <w:rsid w:val="004903EC"/>
    <w:rsid w:val="00490A41"/>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24"/>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53C3"/>
    <w:rsid w:val="004D6F0A"/>
    <w:rsid w:val="004D7CA6"/>
    <w:rsid w:val="004D7FF2"/>
    <w:rsid w:val="004E33C8"/>
    <w:rsid w:val="004E3694"/>
    <w:rsid w:val="004E3905"/>
    <w:rsid w:val="004E3C57"/>
    <w:rsid w:val="004E3F9F"/>
    <w:rsid w:val="004E4546"/>
    <w:rsid w:val="004E4BAF"/>
    <w:rsid w:val="004E5023"/>
    <w:rsid w:val="004E6DBA"/>
    <w:rsid w:val="004E6E56"/>
    <w:rsid w:val="004E704B"/>
    <w:rsid w:val="004F1C53"/>
    <w:rsid w:val="004F1E51"/>
    <w:rsid w:val="004F2F5C"/>
    <w:rsid w:val="004F5DC6"/>
    <w:rsid w:val="004F71EF"/>
    <w:rsid w:val="004F7CD9"/>
    <w:rsid w:val="0050002A"/>
    <w:rsid w:val="0050139C"/>
    <w:rsid w:val="00502024"/>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54CA"/>
    <w:rsid w:val="00525E43"/>
    <w:rsid w:val="00525FA9"/>
    <w:rsid w:val="005275EB"/>
    <w:rsid w:val="00527842"/>
    <w:rsid w:val="00527C95"/>
    <w:rsid w:val="0053010F"/>
    <w:rsid w:val="005303E5"/>
    <w:rsid w:val="00530463"/>
    <w:rsid w:val="005308AA"/>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47A18"/>
    <w:rsid w:val="005509EB"/>
    <w:rsid w:val="0055192A"/>
    <w:rsid w:val="00551ACD"/>
    <w:rsid w:val="00553998"/>
    <w:rsid w:val="00553A89"/>
    <w:rsid w:val="00553CC3"/>
    <w:rsid w:val="005542E5"/>
    <w:rsid w:val="00555391"/>
    <w:rsid w:val="00555B22"/>
    <w:rsid w:val="00557D0F"/>
    <w:rsid w:val="00562E86"/>
    <w:rsid w:val="00565C5C"/>
    <w:rsid w:val="005665D3"/>
    <w:rsid w:val="00566C2D"/>
    <w:rsid w:val="00566CDE"/>
    <w:rsid w:val="00567E0E"/>
    <w:rsid w:val="005701A9"/>
    <w:rsid w:val="00571B9D"/>
    <w:rsid w:val="00572B7F"/>
    <w:rsid w:val="00574181"/>
    <w:rsid w:val="00575596"/>
    <w:rsid w:val="00575C3F"/>
    <w:rsid w:val="0058102C"/>
    <w:rsid w:val="005827CC"/>
    <w:rsid w:val="00582BFF"/>
    <w:rsid w:val="00582C96"/>
    <w:rsid w:val="00583F0C"/>
    <w:rsid w:val="00585441"/>
    <w:rsid w:val="005855DC"/>
    <w:rsid w:val="00587164"/>
    <w:rsid w:val="0059003D"/>
    <w:rsid w:val="005915D7"/>
    <w:rsid w:val="0059278A"/>
    <w:rsid w:val="00592F9A"/>
    <w:rsid w:val="00593CFD"/>
    <w:rsid w:val="00594FD9"/>
    <w:rsid w:val="00596A8A"/>
    <w:rsid w:val="00597904"/>
    <w:rsid w:val="00597E69"/>
    <w:rsid w:val="005A089D"/>
    <w:rsid w:val="005A3320"/>
    <w:rsid w:val="005A34DC"/>
    <w:rsid w:val="005A3B41"/>
    <w:rsid w:val="005A4B21"/>
    <w:rsid w:val="005A5ED1"/>
    <w:rsid w:val="005A62DF"/>
    <w:rsid w:val="005A6539"/>
    <w:rsid w:val="005A6713"/>
    <w:rsid w:val="005A67CD"/>
    <w:rsid w:val="005A6B43"/>
    <w:rsid w:val="005A6F9D"/>
    <w:rsid w:val="005A6FD5"/>
    <w:rsid w:val="005B0E31"/>
    <w:rsid w:val="005B161B"/>
    <w:rsid w:val="005B1E63"/>
    <w:rsid w:val="005B261C"/>
    <w:rsid w:val="005B2AFF"/>
    <w:rsid w:val="005B2C1D"/>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60AE"/>
    <w:rsid w:val="005D6E6D"/>
    <w:rsid w:val="005D7575"/>
    <w:rsid w:val="005E008C"/>
    <w:rsid w:val="005E1BD4"/>
    <w:rsid w:val="005E1ED2"/>
    <w:rsid w:val="005E2DE2"/>
    <w:rsid w:val="005E32E9"/>
    <w:rsid w:val="005E3A7C"/>
    <w:rsid w:val="005E463B"/>
    <w:rsid w:val="005E749A"/>
    <w:rsid w:val="005E74DD"/>
    <w:rsid w:val="005E7C5C"/>
    <w:rsid w:val="005F1C9E"/>
    <w:rsid w:val="005F28F8"/>
    <w:rsid w:val="005F49FC"/>
    <w:rsid w:val="005F502F"/>
    <w:rsid w:val="005F5F74"/>
    <w:rsid w:val="005F69D0"/>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E83"/>
    <w:rsid w:val="00616F62"/>
    <w:rsid w:val="00617AA3"/>
    <w:rsid w:val="006200DD"/>
    <w:rsid w:val="006200E9"/>
    <w:rsid w:val="00621B9E"/>
    <w:rsid w:val="00622D7C"/>
    <w:rsid w:val="00623B69"/>
    <w:rsid w:val="00623C5F"/>
    <w:rsid w:val="00624C15"/>
    <w:rsid w:val="006252B4"/>
    <w:rsid w:val="006313ED"/>
    <w:rsid w:val="00633024"/>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459F"/>
    <w:rsid w:val="00655086"/>
    <w:rsid w:val="006557E5"/>
    <w:rsid w:val="00655995"/>
    <w:rsid w:val="00656388"/>
    <w:rsid w:val="00660487"/>
    <w:rsid w:val="00660879"/>
    <w:rsid w:val="00660ECE"/>
    <w:rsid w:val="00662344"/>
    <w:rsid w:val="00664E71"/>
    <w:rsid w:val="00667461"/>
    <w:rsid w:val="00667B41"/>
    <w:rsid w:val="0067025D"/>
    <w:rsid w:val="00670950"/>
    <w:rsid w:val="00670BA9"/>
    <w:rsid w:val="0067242F"/>
    <w:rsid w:val="00673539"/>
    <w:rsid w:val="00674828"/>
    <w:rsid w:val="00675EC2"/>
    <w:rsid w:val="00676033"/>
    <w:rsid w:val="006766AE"/>
    <w:rsid w:val="006769BD"/>
    <w:rsid w:val="00676A6C"/>
    <w:rsid w:val="00680BE6"/>
    <w:rsid w:val="00680C3C"/>
    <w:rsid w:val="00682DDB"/>
    <w:rsid w:val="0068388A"/>
    <w:rsid w:val="00683965"/>
    <w:rsid w:val="00687C11"/>
    <w:rsid w:val="00690CF7"/>
    <w:rsid w:val="00691D55"/>
    <w:rsid w:val="00693AAD"/>
    <w:rsid w:val="00693B3B"/>
    <w:rsid w:val="0069552E"/>
    <w:rsid w:val="00695CBF"/>
    <w:rsid w:val="00697558"/>
    <w:rsid w:val="006976B9"/>
    <w:rsid w:val="006979A0"/>
    <w:rsid w:val="00697C97"/>
    <w:rsid w:val="006A33BB"/>
    <w:rsid w:val="006A3441"/>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C7BF1"/>
    <w:rsid w:val="006D058E"/>
    <w:rsid w:val="006D0B87"/>
    <w:rsid w:val="006D1132"/>
    <w:rsid w:val="006D1949"/>
    <w:rsid w:val="006D22C9"/>
    <w:rsid w:val="006D6163"/>
    <w:rsid w:val="006D6FA6"/>
    <w:rsid w:val="006D7129"/>
    <w:rsid w:val="006E1277"/>
    <w:rsid w:val="006E2B1D"/>
    <w:rsid w:val="006E3E18"/>
    <w:rsid w:val="006E4E45"/>
    <w:rsid w:val="006E6F5F"/>
    <w:rsid w:val="006E7EB7"/>
    <w:rsid w:val="006F0E3D"/>
    <w:rsid w:val="006F149C"/>
    <w:rsid w:val="006F1969"/>
    <w:rsid w:val="006F329C"/>
    <w:rsid w:val="006F392E"/>
    <w:rsid w:val="006F424C"/>
    <w:rsid w:val="007022BD"/>
    <w:rsid w:val="0070334B"/>
    <w:rsid w:val="00703665"/>
    <w:rsid w:val="00705324"/>
    <w:rsid w:val="00705518"/>
    <w:rsid w:val="00705DEE"/>
    <w:rsid w:val="007060DB"/>
    <w:rsid w:val="00707163"/>
    <w:rsid w:val="00707ACB"/>
    <w:rsid w:val="00710AE6"/>
    <w:rsid w:val="00711780"/>
    <w:rsid w:val="00713359"/>
    <w:rsid w:val="0071339B"/>
    <w:rsid w:val="00713ECC"/>
    <w:rsid w:val="00715177"/>
    <w:rsid w:val="00716ED3"/>
    <w:rsid w:val="00717CDF"/>
    <w:rsid w:val="00722576"/>
    <w:rsid w:val="00723C57"/>
    <w:rsid w:val="00725406"/>
    <w:rsid w:val="007268C4"/>
    <w:rsid w:val="00727667"/>
    <w:rsid w:val="00730133"/>
    <w:rsid w:val="00731DD6"/>
    <w:rsid w:val="0073253B"/>
    <w:rsid w:val="00732A83"/>
    <w:rsid w:val="00734B1E"/>
    <w:rsid w:val="00735493"/>
    <w:rsid w:val="007356BE"/>
    <w:rsid w:val="00735D56"/>
    <w:rsid w:val="00736A0D"/>
    <w:rsid w:val="00736C05"/>
    <w:rsid w:val="00736DFE"/>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6CE"/>
    <w:rsid w:val="00767785"/>
    <w:rsid w:val="00770003"/>
    <w:rsid w:val="00776803"/>
    <w:rsid w:val="00777E8C"/>
    <w:rsid w:val="007821D7"/>
    <w:rsid w:val="007824F8"/>
    <w:rsid w:val="00782BF6"/>
    <w:rsid w:val="00784647"/>
    <w:rsid w:val="007860E7"/>
    <w:rsid w:val="007861C1"/>
    <w:rsid w:val="00790415"/>
    <w:rsid w:val="00790FDB"/>
    <w:rsid w:val="00792E21"/>
    <w:rsid w:val="007948DD"/>
    <w:rsid w:val="00796420"/>
    <w:rsid w:val="00797CA3"/>
    <w:rsid w:val="007A012C"/>
    <w:rsid w:val="007A0698"/>
    <w:rsid w:val="007A159C"/>
    <w:rsid w:val="007A1C7E"/>
    <w:rsid w:val="007A3630"/>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8FB"/>
    <w:rsid w:val="007B4E28"/>
    <w:rsid w:val="007B681C"/>
    <w:rsid w:val="007B7DFC"/>
    <w:rsid w:val="007C0698"/>
    <w:rsid w:val="007C14A2"/>
    <w:rsid w:val="007C371D"/>
    <w:rsid w:val="007C4291"/>
    <w:rsid w:val="007C5422"/>
    <w:rsid w:val="007D06B5"/>
    <w:rsid w:val="007D100C"/>
    <w:rsid w:val="007D12D8"/>
    <w:rsid w:val="007D23C0"/>
    <w:rsid w:val="007D3930"/>
    <w:rsid w:val="007D3CF7"/>
    <w:rsid w:val="007E0E66"/>
    <w:rsid w:val="007E262F"/>
    <w:rsid w:val="007E2682"/>
    <w:rsid w:val="007E4FEF"/>
    <w:rsid w:val="007E7F18"/>
    <w:rsid w:val="007E7FE8"/>
    <w:rsid w:val="007F0516"/>
    <w:rsid w:val="007F1388"/>
    <w:rsid w:val="007F162A"/>
    <w:rsid w:val="007F2325"/>
    <w:rsid w:val="007F2802"/>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17D2"/>
    <w:rsid w:val="00842790"/>
    <w:rsid w:val="0084439C"/>
    <w:rsid w:val="00845467"/>
    <w:rsid w:val="00845607"/>
    <w:rsid w:val="00845622"/>
    <w:rsid w:val="008461F0"/>
    <w:rsid w:val="008469C9"/>
    <w:rsid w:val="00847F3A"/>
    <w:rsid w:val="00850946"/>
    <w:rsid w:val="0085132B"/>
    <w:rsid w:val="0085475A"/>
    <w:rsid w:val="00855164"/>
    <w:rsid w:val="00855D7B"/>
    <w:rsid w:val="00856558"/>
    <w:rsid w:val="00860DAD"/>
    <w:rsid w:val="008664C7"/>
    <w:rsid w:val="008669C3"/>
    <w:rsid w:val="00867567"/>
    <w:rsid w:val="0087262A"/>
    <w:rsid w:val="00873F9C"/>
    <w:rsid w:val="008750F5"/>
    <w:rsid w:val="008772A0"/>
    <w:rsid w:val="008772C2"/>
    <w:rsid w:val="00877402"/>
    <w:rsid w:val="00880BBF"/>
    <w:rsid w:val="0088104D"/>
    <w:rsid w:val="00881359"/>
    <w:rsid w:val="008815CC"/>
    <w:rsid w:val="0088166C"/>
    <w:rsid w:val="008824DB"/>
    <w:rsid w:val="008830E8"/>
    <w:rsid w:val="00884654"/>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358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DB1"/>
    <w:rsid w:val="008C6F65"/>
    <w:rsid w:val="008C715E"/>
    <w:rsid w:val="008D065F"/>
    <w:rsid w:val="008D10CC"/>
    <w:rsid w:val="008D1C07"/>
    <w:rsid w:val="008D3E56"/>
    <w:rsid w:val="008D4114"/>
    <w:rsid w:val="008D4811"/>
    <w:rsid w:val="008D564D"/>
    <w:rsid w:val="008D5B7C"/>
    <w:rsid w:val="008D6839"/>
    <w:rsid w:val="008E1178"/>
    <w:rsid w:val="008E3F0E"/>
    <w:rsid w:val="008E571D"/>
    <w:rsid w:val="008E6CA6"/>
    <w:rsid w:val="008E77B6"/>
    <w:rsid w:val="008F0889"/>
    <w:rsid w:val="008F08D7"/>
    <w:rsid w:val="008F0BF8"/>
    <w:rsid w:val="008F1E1B"/>
    <w:rsid w:val="008F247B"/>
    <w:rsid w:val="008F36D2"/>
    <w:rsid w:val="008F53F4"/>
    <w:rsid w:val="0090116F"/>
    <w:rsid w:val="00902E29"/>
    <w:rsid w:val="00907C38"/>
    <w:rsid w:val="00907D23"/>
    <w:rsid w:val="00910854"/>
    <w:rsid w:val="00912BE7"/>
    <w:rsid w:val="009136ED"/>
    <w:rsid w:val="00913F28"/>
    <w:rsid w:val="0091485A"/>
    <w:rsid w:val="00915DF5"/>
    <w:rsid w:val="00916589"/>
    <w:rsid w:val="00917557"/>
    <w:rsid w:val="00917AF1"/>
    <w:rsid w:val="00922C1F"/>
    <w:rsid w:val="009232F6"/>
    <w:rsid w:val="00923A22"/>
    <w:rsid w:val="00923CEB"/>
    <w:rsid w:val="0092443D"/>
    <w:rsid w:val="00925AE6"/>
    <w:rsid w:val="00925F31"/>
    <w:rsid w:val="0092608B"/>
    <w:rsid w:val="0092683D"/>
    <w:rsid w:val="00926E81"/>
    <w:rsid w:val="00927A18"/>
    <w:rsid w:val="00927C62"/>
    <w:rsid w:val="00930F09"/>
    <w:rsid w:val="009332CE"/>
    <w:rsid w:val="0093543F"/>
    <w:rsid w:val="00935EE7"/>
    <w:rsid w:val="00937285"/>
    <w:rsid w:val="0093783C"/>
    <w:rsid w:val="0094037D"/>
    <w:rsid w:val="00940F47"/>
    <w:rsid w:val="009418B7"/>
    <w:rsid w:val="0094204D"/>
    <w:rsid w:val="00942E94"/>
    <w:rsid w:val="0094485D"/>
    <w:rsid w:val="00945049"/>
    <w:rsid w:val="00951844"/>
    <w:rsid w:val="00952829"/>
    <w:rsid w:val="009537FD"/>
    <w:rsid w:val="00953891"/>
    <w:rsid w:val="0095399B"/>
    <w:rsid w:val="009569A8"/>
    <w:rsid w:val="00956C5B"/>
    <w:rsid w:val="00956C7F"/>
    <w:rsid w:val="009576F5"/>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62E1"/>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6A6"/>
    <w:rsid w:val="009C4BEE"/>
    <w:rsid w:val="009C599A"/>
    <w:rsid w:val="009C5FDC"/>
    <w:rsid w:val="009C7881"/>
    <w:rsid w:val="009D0A93"/>
    <w:rsid w:val="009D1A6B"/>
    <w:rsid w:val="009D1F23"/>
    <w:rsid w:val="009D2399"/>
    <w:rsid w:val="009D39F4"/>
    <w:rsid w:val="009D4D72"/>
    <w:rsid w:val="009D4DE4"/>
    <w:rsid w:val="009D7106"/>
    <w:rsid w:val="009D7755"/>
    <w:rsid w:val="009D7D8B"/>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40C7"/>
    <w:rsid w:val="00A24D96"/>
    <w:rsid w:val="00A30EC0"/>
    <w:rsid w:val="00A31453"/>
    <w:rsid w:val="00A32788"/>
    <w:rsid w:val="00A3386A"/>
    <w:rsid w:val="00A362C3"/>
    <w:rsid w:val="00A36339"/>
    <w:rsid w:val="00A375BB"/>
    <w:rsid w:val="00A37F6E"/>
    <w:rsid w:val="00A4048A"/>
    <w:rsid w:val="00A40E3B"/>
    <w:rsid w:val="00A427E3"/>
    <w:rsid w:val="00A445BF"/>
    <w:rsid w:val="00A45981"/>
    <w:rsid w:val="00A4779B"/>
    <w:rsid w:val="00A5085A"/>
    <w:rsid w:val="00A50AE1"/>
    <w:rsid w:val="00A50FE6"/>
    <w:rsid w:val="00A510C2"/>
    <w:rsid w:val="00A51150"/>
    <w:rsid w:val="00A51335"/>
    <w:rsid w:val="00A5309A"/>
    <w:rsid w:val="00A55A81"/>
    <w:rsid w:val="00A566C0"/>
    <w:rsid w:val="00A578F9"/>
    <w:rsid w:val="00A57B43"/>
    <w:rsid w:val="00A57DF0"/>
    <w:rsid w:val="00A60D05"/>
    <w:rsid w:val="00A6279B"/>
    <w:rsid w:val="00A6302C"/>
    <w:rsid w:val="00A645D4"/>
    <w:rsid w:val="00A64CCC"/>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738"/>
    <w:rsid w:val="00A90BDE"/>
    <w:rsid w:val="00A90C55"/>
    <w:rsid w:val="00A92239"/>
    <w:rsid w:val="00A92D10"/>
    <w:rsid w:val="00A92FB4"/>
    <w:rsid w:val="00A95016"/>
    <w:rsid w:val="00A961DA"/>
    <w:rsid w:val="00A962EE"/>
    <w:rsid w:val="00A97F96"/>
    <w:rsid w:val="00AA161A"/>
    <w:rsid w:val="00AA22E8"/>
    <w:rsid w:val="00AA4709"/>
    <w:rsid w:val="00AA5085"/>
    <w:rsid w:val="00AA5142"/>
    <w:rsid w:val="00AA593B"/>
    <w:rsid w:val="00AA5B6F"/>
    <w:rsid w:val="00AA5B9B"/>
    <w:rsid w:val="00AA5CA7"/>
    <w:rsid w:val="00AA5E89"/>
    <w:rsid w:val="00AA6541"/>
    <w:rsid w:val="00AA6FC9"/>
    <w:rsid w:val="00AA7267"/>
    <w:rsid w:val="00AB22F6"/>
    <w:rsid w:val="00AB233E"/>
    <w:rsid w:val="00AB352D"/>
    <w:rsid w:val="00AB40D2"/>
    <w:rsid w:val="00AB4F11"/>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3FD"/>
    <w:rsid w:val="00AD7D04"/>
    <w:rsid w:val="00AE021A"/>
    <w:rsid w:val="00AE0595"/>
    <w:rsid w:val="00AE1CFB"/>
    <w:rsid w:val="00AE1E36"/>
    <w:rsid w:val="00AE23B9"/>
    <w:rsid w:val="00AE2FEE"/>
    <w:rsid w:val="00AE534E"/>
    <w:rsid w:val="00AE5D32"/>
    <w:rsid w:val="00AE6DE5"/>
    <w:rsid w:val="00AE791D"/>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3347"/>
    <w:rsid w:val="00B15C16"/>
    <w:rsid w:val="00B16835"/>
    <w:rsid w:val="00B168CA"/>
    <w:rsid w:val="00B21493"/>
    <w:rsid w:val="00B2240B"/>
    <w:rsid w:val="00B23F51"/>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4579B"/>
    <w:rsid w:val="00B51556"/>
    <w:rsid w:val="00B52526"/>
    <w:rsid w:val="00B54A46"/>
    <w:rsid w:val="00B56F92"/>
    <w:rsid w:val="00B57E73"/>
    <w:rsid w:val="00B60878"/>
    <w:rsid w:val="00B614B8"/>
    <w:rsid w:val="00B61EB3"/>
    <w:rsid w:val="00B622C1"/>
    <w:rsid w:val="00B628D3"/>
    <w:rsid w:val="00B66000"/>
    <w:rsid w:val="00B6671E"/>
    <w:rsid w:val="00B67016"/>
    <w:rsid w:val="00B670DB"/>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F42"/>
    <w:rsid w:val="00BA6666"/>
    <w:rsid w:val="00BA6788"/>
    <w:rsid w:val="00BB0D2D"/>
    <w:rsid w:val="00BB3499"/>
    <w:rsid w:val="00BB5C53"/>
    <w:rsid w:val="00BB7D4E"/>
    <w:rsid w:val="00BC255F"/>
    <w:rsid w:val="00BC2BC8"/>
    <w:rsid w:val="00BC373A"/>
    <w:rsid w:val="00BC3BE3"/>
    <w:rsid w:val="00BC3D88"/>
    <w:rsid w:val="00BC4203"/>
    <w:rsid w:val="00BC4675"/>
    <w:rsid w:val="00BC5232"/>
    <w:rsid w:val="00BC529E"/>
    <w:rsid w:val="00BC56AC"/>
    <w:rsid w:val="00BC695E"/>
    <w:rsid w:val="00BC7282"/>
    <w:rsid w:val="00BC75C7"/>
    <w:rsid w:val="00BC761F"/>
    <w:rsid w:val="00BC7D8C"/>
    <w:rsid w:val="00BC7F4C"/>
    <w:rsid w:val="00BD0ED1"/>
    <w:rsid w:val="00BD3613"/>
    <w:rsid w:val="00BD3F54"/>
    <w:rsid w:val="00BD60E1"/>
    <w:rsid w:val="00BD7407"/>
    <w:rsid w:val="00BE05F0"/>
    <w:rsid w:val="00BE0984"/>
    <w:rsid w:val="00BE191A"/>
    <w:rsid w:val="00BE2B8C"/>
    <w:rsid w:val="00BE3C51"/>
    <w:rsid w:val="00BE614A"/>
    <w:rsid w:val="00BE6D3D"/>
    <w:rsid w:val="00BF054B"/>
    <w:rsid w:val="00BF076C"/>
    <w:rsid w:val="00BF0F45"/>
    <w:rsid w:val="00BF13F9"/>
    <w:rsid w:val="00BF2351"/>
    <w:rsid w:val="00BF2893"/>
    <w:rsid w:val="00BF375A"/>
    <w:rsid w:val="00BF58E6"/>
    <w:rsid w:val="00BF5B84"/>
    <w:rsid w:val="00BF5E90"/>
    <w:rsid w:val="00BF6174"/>
    <w:rsid w:val="00BF65C6"/>
    <w:rsid w:val="00BF78B7"/>
    <w:rsid w:val="00BF79B8"/>
    <w:rsid w:val="00C00028"/>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1320"/>
    <w:rsid w:val="00C327AB"/>
    <w:rsid w:val="00C358FF"/>
    <w:rsid w:val="00C364C7"/>
    <w:rsid w:val="00C36EFA"/>
    <w:rsid w:val="00C4034D"/>
    <w:rsid w:val="00C4164B"/>
    <w:rsid w:val="00C427F5"/>
    <w:rsid w:val="00C4334B"/>
    <w:rsid w:val="00C433A8"/>
    <w:rsid w:val="00C4560B"/>
    <w:rsid w:val="00C467E4"/>
    <w:rsid w:val="00C5035D"/>
    <w:rsid w:val="00C51047"/>
    <w:rsid w:val="00C511E5"/>
    <w:rsid w:val="00C5258A"/>
    <w:rsid w:val="00C54497"/>
    <w:rsid w:val="00C563DE"/>
    <w:rsid w:val="00C56C8B"/>
    <w:rsid w:val="00C57DE7"/>
    <w:rsid w:val="00C60559"/>
    <w:rsid w:val="00C61002"/>
    <w:rsid w:val="00C62D17"/>
    <w:rsid w:val="00C66080"/>
    <w:rsid w:val="00C665B1"/>
    <w:rsid w:val="00C66D0F"/>
    <w:rsid w:val="00C66E84"/>
    <w:rsid w:val="00C6797F"/>
    <w:rsid w:val="00C72AA8"/>
    <w:rsid w:val="00C72BF0"/>
    <w:rsid w:val="00C73FA7"/>
    <w:rsid w:val="00C754D8"/>
    <w:rsid w:val="00C77D35"/>
    <w:rsid w:val="00C803DC"/>
    <w:rsid w:val="00C8293B"/>
    <w:rsid w:val="00C86467"/>
    <w:rsid w:val="00C86BFD"/>
    <w:rsid w:val="00C90258"/>
    <w:rsid w:val="00C911CD"/>
    <w:rsid w:val="00C931D5"/>
    <w:rsid w:val="00C9411F"/>
    <w:rsid w:val="00C94ECB"/>
    <w:rsid w:val="00C978CA"/>
    <w:rsid w:val="00CA10DF"/>
    <w:rsid w:val="00CA3968"/>
    <w:rsid w:val="00CA42F7"/>
    <w:rsid w:val="00CA5DAD"/>
    <w:rsid w:val="00CA78C6"/>
    <w:rsid w:val="00CA7AF5"/>
    <w:rsid w:val="00CB0D6A"/>
    <w:rsid w:val="00CB3124"/>
    <w:rsid w:val="00CB3CE4"/>
    <w:rsid w:val="00CB7AFF"/>
    <w:rsid w:val="00CC1777"/>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2EA"/>
    <w:rsid w:val="00CF4EBF"/>
    <w:rsid w:val="00CF519D"/>
    <w:rsid w:val="00CF5602"/>
    <w:rsid w:val="00CF5A41"/>
    <w:rsid w:val="00CF7563"/>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0DB"/>
    <w:rsid w:val="00D203ED"/>
    <w:rsid w:val="00D21FB0"/>
    <w:rsid w:val="00D22D7A"/>
    <w:rsid w:val="00D25ACE"/>
    <w:rsid w:val="00D25E71"/>
    <w:rsid w:val="00D26519"/>
    <w:rsid w:val="00D26606"/>
    <w:rsid w:val="00D26B05"/>
    <w:rsid w:val="00D276D9"/>
    <w:rsid w:val="00D278AE"/>
    <w:rsid w:val="00D2792C"/>
    <w:rsid w:val="00D27D58"/>
    <w:rsid w:val="00D31440"/>
    <w:rsid w:val="00D31728"/>
    <w:rsid w:val="00D32678"/>
    <w:rsid w:val="00D32DC0"/>
    <w:rsid w:val="00D403E1"/>
    <w:rsid w:val="00D41DFB"/>
    <w:rsid w:val="00D42741"/>
    <w:rsid w:val="00D42B6B"/>
    <w:rsid w:val="00D42F09"/>
    <w:rsid w:val="00D43E72"/>
    <w:rsid w:val="00D44261"/>
    <w:rsid w:val="00D449F0"/>
    <w:rsid w:val="00D45DA1"/>
    <w:rsid w:val="00D503DE"/>
    <w:rsid w:val="00D50AEC"/>
    <w:rsid w:val="00D537A3"/>
    <w:rsid w:val="00D53DD7"/>
    <w:rsid w:val="00D5450C"/>
    <w:rsid w:val="00D57676"/>
    <w:rsid w:val="00D609FC"/>
    <w:rsid w:val="00D62CE4"/>
    <w:rsid w:val="00D6435A"/>
    <w:rsid w:val="00D64C3E"/>
    <w:rsid w:val="00D65E26"/>
    <w:rsid w:val="00D66182"/>
    <w:rsid w:val="00D6713B"/>
    <w:rsid w:val="00D67D63"/>
    <w:rsid w:val="00D70101"/>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B0AC9"/>
    <w:rsid w:val="00DB1DFF"/>
    <w:rsid w:val="00DB2916"/>
    <w:rsid w:val="00DB3680"/>
    <w:rsid w:val="00DB3B28"/>
    <w:rsid w:val="00DB3C6D"/>
    <w:rsid w:val="00DB6798"/>
    <w:rsid w:val="00DB6BD5"/>
    <w:rsid w:val="00DB6EB3"/>
    <w:rsid w:val="00DC2AD1"/>
    <w:rsid w:val="00DC357E"/>
    <w:rsid w:val="00DC470C"/>
    <w:rsid w:val="00DC4B9A"/>
    <w:rsid w:val="00DC4E9F"/>
    <w:rsid w:val="00DC6A77"/>
    <w:rsid w:val="00DC73E6"/>
    <w:rsid w:val="00DC7B45"/>
    <w:rsid w:val="00DC7C6E"/>
    <w:rsid w:val="00DD496D"/>
    <w:rsid w:val="00DD503A"/>
    <w:rsid w:val="00DD707D"/>
    <w:rsid w:val="00DD71E0"/>
    <w:rsid w:val="00DE1F10"/>
    <w:rsid w:val="00DE254F"/>
    <w:rsid w:val="00DE2793"/>
    <w:rsid w:val="00DE3B92"/>
    <w:rsid w:val="00DE52A1"/>
    <w:rsid w:val="00DE6419"/>
    <w:rsid w:val="00DF1EAA"/>
    <w:rsid w:val="00DF2019"/>
    <w:rsid w:val="00DF6FDF"/>
    <w:rsid w:val="00E0083D"/>
    <w:rsid w:val="00E01D9B"/>
    <w:rsid w:val="00E02454"/>
    <w:rsid w:val="00E02A91"/>
    <w:rsid w:val="00E02CB1"/>
    <w:rsid w:val="00E030E9"/>
    <w:rsid w:val="00E04427"/>
    <w:rsid w:val="00E04CA9"/>
    <w:rsid w:val="00E05181"/>
    <w:rsid w:val="00E05939"/>
    <w:rsid w:val="00E05F60"/>
    <w:rsid w:val="00E0632B"/>
    <w:rsid w:val="00E07B83"/>
    <w:rsid w:val="00E11A3B"/>
    <w:rsid w:val="00E11D43"/>
    <w:rsid w:val="00E138C3"/>
    <w:rsid w:val="00E17353"/>
    <w:rsid w:val="00E20F84"/>
    <w:rsid w:val="00E221B1"/>
    <w:rsid w:val="00E223D4"/>
    <w:rsid w:val="00E225A7"/>
    <w:rsid w:val="00E2289A"/>
    <w:rsid w:val="00E23E93"/>
    <w:rsid w:val="00E258B8"/>
    <w:rsid w:val="00E26A5A"/>
    <w:rsid w:val="00E26B45"/>
    <w:rsid w:val="00E26C55"/>
    <w:rsid w:val="00E27636"/>
    <w:rsid w:val="00E27921"/>
    <w:rsid w:val="00E306BE"/>
    <w:rsid w:val="00E31195"/>
    <w:rsid w:val="00E332D0"/>
    <w:rsid w:val="00E34E60"/>
    <w:rsid w:val="00E35EB4"/>
    <w:rsid w:val="00E368D5"/>
    <w:rsid w:val="00E368EC"/>
    <w:rsid w:val="00E375A0"/>
    <w:rsid w:val="00E4001B"/>
    <w:rsid w:val="00E44A86"/>
    <w:rsid w:val="00E4518E"/>
    <w:rsid w:val="00E45857"/>
    <w:rsid w:val="00E45C0C"/>
    <w:rsid w:val="00E5047B"/>
    <w:rsid w:val="00E5096C"/>
    <w:rsid w:val="00E50AD1"/>
    <w:rsid w:val="00E50C33"/>
    <w:rsid w:val="00E50C6A"/>
    <w:rsid w:val="00E53F63"/>
    <w:rsid w:val="00E54202"/>
    <w:rsid w:val="00E54C07"/>
    <w:rsid w:val="00E556A6"/>
    <w:rsid w:val="00E57656"/>
    <w:rsid w:val="00E630C2"/>
    <w:rsid w:val="00E647CD"/>
    <w:rsid w:val="00E66AB1"/>
    <w:rsid w:val="00E736ED"/>
    <w:rsid w:val="00E73B81"/>
    <w:rsid w:val="00E74520"/>
    <w:rsid w:val="00E749C0"/>
    <w:rsid w:val="00E74E43"/>
    <w:rsid w:val="00E77E42"/>
    <w:rsid w:val="00E805FA"/>
    <w:rsid w:val="00E8154E"/>
    <w:rsid w:val="00E8187E"/>
    <w:rsid w:val="00E81E23"/>
    <w:rsid w:val="00E82DD8"/>
    <w:rsid w:val="00E83DD8"/>
    <w:rsid w:val="00E8420F"/>
    <w:rsid w:val="00E8466B"/>
    <w:rsid w:val="00E84F93"/>
    <w:rsid w:val="00E8552C"/>
    <w:rsid w:val="00E909E0"/>
    <w:rsid w:val="00E90DCA"/>
    <w:rsid w:val="00E92C5A"/>
    <w:rsid w:val="00E93F5A"/>
    <w:rsid w:val="00E9431A"/>
    <w:rsid w:val="00E9538A"/>
    <w:rsid w:val="00E95F2A"/>
    <w:rsid w:val="00E9625A"/>
    <w:rsid w:val="00E9746D"/>
    <w:rsid w:val="00EA0CC5"/>
    <w:rsid w:val="00EA1FBF"/>
    <w:rsid w:val="00EA2B31"/>
    <w:rsid w:val="00EA45FF"/>
    <w:rsid w:val="00EA52A4"/>
    <w:rsid w:val="00EA5304"/>
    <w:rsid w:val="00EA7089"/>
    <w:rsid w:val="00EA76BC"/>
    <w:rsid w:val="00EB4206"/>
    <w:rsid w:val="00EB5263"/>
    <w:rsid w:val="00EB74F6"/>
    <w:rsid w:val="00EC0331"/>
    <w:rsid w:val="00EC0E86"/>
    <w:rsid w:val="00EC1F51"/>
    <w:rsid w:val="00EC2396"/>
    <w:rsid w:val="00EC23B9"/>
    <w:rsid w:val="00EC2E28"/>
    <w:rsid w:val="00EC5074"/>
    <w:rsid w:val="00EC60DF"/>
    <w:rsid w:val="00EC6D66"/>
    <w:rsid w:val="00ED003B"/>
    <w:rsid w:val="00ED04B0"/>
    <w:rsid w:val="00ED0912"/>
    <w:rsid w:val="00ED10A2"/>
    <w:rsid w:val="00ED198E"/>
    <w:rsid w:val="00ED1C0D"/>
    <w:rsid w:val="00ED1C6D"/>
    <w:rsid w:val="00ED1F60"/>
    <w:rsid w:val="00ED207A"/>
    <w:rsid w:val="00ED27A6"/>
    <w:rsid w:val="00ED4508"/>
    <w:rsid w:val="00ED68EF"/>
    <w:rsid w:val="00ED71B3"/>
    <w:rsid w:val="00ED7220"/>
    <w:rsid w:val="00EE043A"/>
    <w:rsid w:val="00EE164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1BAA"/>
    <w:rsid w:val="00F053CC"/>
    <w:rsid w:val="00F05B40"/>
    <w:rsid w:val="00F07025"/>
    <w:rsid w:val="00F072A0"/>
    <w:rsid w:val="00F11079"/>
    <w:rsid w:val="00F11D90"/>
    <w:rsid w:val="00F121B7"/>
    <w:rsid w:val="00F130CF"/>
    <w:rsid w:val="00F133E8"/>
    <w:rsid w:val="00F13476"/>
    <w:rsid w:val="00F136B6"/>
    <w:rsid w:val="00F155AB"/>
    <w:rsid w:val="00F1695F"/>
    <w:rsid w:val="00F17AB7"/>
    <w:rsid w:val="00F17F22"/>
    <w:rsid w:val="00F20CCB"/>
    <w:rsid w:val="00F245E6"/>
    <w:rsid w:val="00F24641"/>
    <w:rsid w:val="00F2528C"/>
    <w:rsid w:val="00F26F33"/>
    <w:rsid w:val="00F276CC"/>
    <w:rsid w:val="00F27CF9"/>
    <w:rsid w:val="00F27EA3"/>
    <w:rsid w:val="00F30797"/>
    <w:rsid w:val="00F309E4"/>
    <w:rsid w:val="00F31A1C"/>
    <w:rsid w:val="00F323D4"/>
    <w:rsid w:val="00F33004"/>
    <w:rsid w:val="00F33A18"/>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4565"/>
    <w:rsid w:val="00F95C1D"/>
    <w:rsid w:val="00F96709"/>
    <w:rsid w:val="00F97C5D"/>
    <w:rsid w:val="00FA0FCA"/>
    <w:rsid w:val="00FA1102"/>
    <w:rsid w:val="00FA1BCF"/>
    <w:rsid w:val="00FA1CD8"/>
    <w:rsid w:val="00FA2CC9"/>
    <w:rsid w:val="00FA2F7F"/>
    <w:rsid w:val="00FA353E"/>
    <w:rsid w:val="00FA4CE8"/>
    <w:rsid w:val="00FA519F"/>
    <w:rsid w:val="00FB47D5"/>
    <w:rsid w:val="00FB7C6A"/>
    <w:rsid w:val="00FC00F7"/>
    <w:rsid w:val="00FC0715"/>
    <w:rsid w:val="00FC078C"/>
    <w:rsid w:val="00FC192E"/>
    <w:rsid w:val="00FC4FE3"/>
    <w:rsid w:val="00FC6BE6"/>
    <w:rsid w:val="00FC7839"/>
    <w:rsid w:val="00FD123C"/>
    <w:rsid w:val="00FD4A33"/>
    <w:rsid w:val="00FD5D7D"/>
    <w:rsid w:val="00FD69F7"/>
    <w:rsid w:val="00FD6CD1"/>
    <w:rsid w:val="00FD710D"/>
    <w:rsid w:val="00FE0BF0"/>
    <w:rsid w:val="00FE1A6A"/>
    <w:rsid w:val="00FE2C8D"/>
    <w:rsid w:val="00FE3AC1"/>
    <w:rsid w:val="00FE4E63"/>
    <w:rsid w:val="00FE5782"/>
    <w:rsid w:val="00FE59D1"/>
    <w:rsid w:val="00FE5B6B"/>
    <w:rsid w:val="00FE632D"/>
    <w:rsid w:val="00FE6A03"/>
    <w:rsid w:val="00FE6DC8"/>
    <w:rsid w:val="00FF0509"/>
    <w:rsid w:val="00FF0B5C"/>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B5F25A04-4931-43C2-9896-24CDFFDDC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F2276-D419-4012-B02E-3C3573B3F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3847</TotalTime>
  <Pages>3</Pages>
  <Words>1279</Words>
  <Characters>7295</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15</cp:revision>
  <dcterms:created xsi:type="dcterms:W3CDTF">2016-05-12T03:16:00Z</dcterms:created>
  <dcterms:modified xsi:type="dcterms:W3CDTF">2017-05-05T08:20:00Z</dcterms:modified>
</cp:coreProperties>
</file>